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07B62FFD" w:rsidR="000830E3" w:rsidRDefault="00855C58" w:rsidP="00855C58">
      <w:pPr>
        <w:pStyle w:val="Pagedecouverture"/>
        <w:rPr>
          <w:noProof/>
        </w:rPr>
      </w:pPr>
      <w:bookmarkStart w:id="0" w:name="LW_BM_COVERPAGE"/>
      <w:r>
        <w:rPr>
          <w:noProof/>
        </w:rPr>
        <w:pict w14:anchorId="5D3EC4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F88D2B-9915-4A2E-A76D-C22ED4A8C057" style="width:455.25pt;height:548.25pt">
            <v:imagedata r:id="rId15" o:title=""/>
          </v:shape>
        </w:pict>
      </w:r>
    </w:p>
    <w:bookmarkEnd w:id="0"/>
    <w:p w14:paraId="2BAF3ADB" w14:textId="77777777" w:rsidR="000830E3" w:rsidRDefault="000830E3" w:rsidP="000830E3">
      <w:pPr>
        <w:rPr>
          <w:noProof/>
        </w:rPr>
        <w:sectPr w:rsidR="000830E3" w:rsidSect="00855C58">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6F7D9E18" w14:textId="77777777" w:rsidR="0040534C" w:rsidRPr="00396960" w:rsidRDefault="0040534C" w:rsidP="0040534C">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396960">
        <w:rPr>
          <w:b/>
          <w:smallCaps/>
          <w:noProof/>
          <w:szCs w:val="24"/>
          <w:u w:val="single"/>
          <w:lang w:eastAsia="en-GB"/>
        </w:rPr>
        <w:lastRenderedPageBreak/>
        <w:t>Abstract</w:t>
      </w:r>
    </w:p>
    <w:p w14:paraId="412702E4" w14:textId="6B786ED8" w:rsidR="0040534C" w:rsidRPr="00C50214" w:rsidRDefault="0040534C" w:rsidP="0040534C">
      <w:pPr>
        <w:pBdr>
          <w:top w:val="single" w:sz="4" w:space="1" w:color="auto"/>
          <w:left w:val="single" w:sz="4" w:space="4" w:color="auto"/>
          <w:bottom w:val="single" w:sz="4" w:space="17" w:color="auto"/>
          <w:right w:val="single" w:sz="4" w:space="4" w:color="auto"/>
        </w:pBdr>
        <w:rPr>
          <w:bCs/>
          <w:noProof/>
          <w:lang w:val="en-IE" w:eastAsia="en-GB"/>
        </w:rPr>
      </w:pPr>
      <w:r w:rsidRPr="001B7B43">
        <w:rPr>
          <w:noProof/>
          <w:lang w:eastAsia="en-GB"/>
        </w:rPr>
        <w:t xml:space="preserve">In Cyprus, the </w:t>
      </w:r>
      <w:r w:rsidRPr="001B7B43">
        <w:rPr>
          <w:bCs/>
          <w:noProof/>
          <w:lang w:eastAsia="en-GB"/>
        </w:rPr>
        <w:t xml:space="preserve">ongoing reform of the Law Office, </w:t>
      </w:r>
      <w:r>
        <w:rPr>
          <w:bCs/>
          <w:noProof/>
          <w:lang w:eastAsia="en-GB"/>
        </w:rPr>
        <w:t>which</w:t>
      </w:r>
      <w:r w:rsidRPr="001B7B43">
        <w:rPr>
          <w:bCs/>
          <w:noProof/>
          <w:lang w:eastAsia="en-GB"/>
        </w:rPr>
        <w:t xml:space="preserve"> </w:t>
      </w:r>
      <w:r>
        <w:rPr>
          <w:bCs/>
          <w:noProof/>
          <w:lang w:eastAsia="en-GB"/>
        </w:rPr>
        <w:t xml:space="preserve">plans to </w:t>
      </w:r>
      <w:r w:rsidRPr="001B7B43">
        <w:rPr>
          <w:bCs/>
          <w:noProof/>
          <w:lang w:eastAsia="en-GB"/>
        </w:rPr>
        <w:t xml:space="preserve">establish the Office of the Public Prosecutor General and the introduction of an </w:t>
      </w:r>
      <w:r w:rsidRPr="001B7B43">
        <w:rPr>
          <w:bCs/>
          <w:noProof/>
          <w:lang w:eastAsia="fr-FR"/>
        </w:rPr>
        <w:t>effective review of decisions not to prosecute or to discontinue proceedings, remains pending before Parliament.</w:t>
      </w:r>
      <w:r w:rsidRPr="001B7B43">
        <w:rPr>
          <w:b/>
          <w:noProof/>
          <w:lang w:eastAsia="fr-FR"/>
        </w:rPr>
        <w:t xml:space="preserve"> </w:t>
      </w:r>
      <w:r w:rsidRPr="001B7B43">
        <w:rPr>
          <w:bCs/>
          <w:noProof/>
          <w:lang w:eastAsia="en-GB"/>
        </w:rPr>
        <w:t xml:space="preserve">A distinct branch of administrative justice was established. Measures to reinforce trust in the judiciary </w:t>
      </w:r>
      <w:r>
        <w:rPr>
          <w:bCs/>
          <w:noProof/>
          <w:lang w:eastAsia="en-GB"/>
        </w:rPr>
        <w:t xml:space="preserve">have been taken, </w:t>
      </w:r>
      <w:r w:rsidRPr="001B7B43">
        <w:rPr>
          <w:bCs/>
          <w:noProof/>
          <w:lang w:eastAsia="en-GB"/>
        </w:rPr>
        <w:t>includ</w:t>
      </w:r>
      <w:r>
        <w:rPr>
          <w:bCs/>
          <w:noProof/>
          <w:lang w:eastAsia="en-GB"/>
        </w:rPr>
        <w:t>ing</w:t>
      </w:r>
      <w:r w:rsidRPr="001B7B43">
        <w:rPr>
          <w:bCs/>
          <w:noProof/>
          <w:lang w:eastAsia="en-GB"/>
        </w:rPr>
        <w:t xml:space="preserve"> </w:t>
      </w:r>
      <w:r>
        <w:rPr>
          <w:bCs/>
          <w:noProof/>
          <w:lang w:eastAsia="en-GB"/>
        </w:rPr>
        <w:t>new</w:t>
      </w:r>
      <w:r w:rsidRPr="001B7B43">
        <w:rPr>
          <w:noProof/>
          <w:lang w:val="en-US" w:eastAsia="en-GB"/>
        </w:rPr>
        <w:t xml:space="preserve"> guidelines on recusal of judges.</w:t>
      </w:r>
      <w:r w:rsidRPr="001B7B43">
        <w:rPr>
          <w:noProof/>
          <w:lang w:eastAsia="en-GB"/>
        </w:rPr>
        <w:t xml:space="preserve"> The Supreme Constitutional </w:t>
      </w:r>
      <w:r w:rsidR="007C5F7C">
        <w:rPr>
          <w:noProof/>
          <w:lang w:eastAsia="en-GB"/>
        </w:rPr>
        <w:t xml:space="preserve">Judicial </w:t>
      </w:r>
      <w:r w:rsidRPr="001B7B43">
        <w:rPr>
          <w:noProof/>
          <w:lang w:eastAsia="en-GB"/>
        </w:rPr>
        <w:t xml:space="preserve">Council </w:t>
      </w:r>
      <w:r>
        <w:rPr>
          <w:noProof/>
          <w:lang w:eastAsia="en-GB"/>
        </w:rPr>
        <w:t xml:space="preserve">held </w:t>
      </w:r>
      <w:r w:rsidRPr="001B7B43">
        <w:rPr>
          <w:noProof/>
          <w:lang w:eastAsia="en-GB"/>
        </w:rPr>
        <w:t xml:space="preserve">that probationary appointments of judges </w:t>
      </w:r>
      <w:r>
        <w:rPr>
          <w:noProof/>
          <w:lang w:eastAsia="en-GB"/>
        </w:rPr>
        <w:t xml:space="preserve">rely on </w:t>
      </w:r>
      <w:r w:rsidRPr="001B7B43">
        <w:rPr>
          <w:noProof/>
          <w:lang w:eastAsia="en-GB"/>
        </w:rPr>
        <w:t>a long-standing practice</w:t>
      </w:r>
      <w:r w:rsidRPr="001B7B43">
        <w:rPr>
          <w:bCs/>
          <w:noProof/>
          <w:lang w:eastAsia="en-GB"/>
        </w:rPr>
        <w:t xml:space="preserve">. The digital transformation of the justice system </w:t>
      </w:r>
      <w:r w:rsidRPr="001B7B43">
        <w:rPr>
          <w:noProof/>
          <w:lang w:eastAsia="en-GB"/>
        </w:rPr>
        <w:t xml:space="preserve">remains limited </w:t>
      </w:r>
      <w:r>
        <w:rPr>
          <w:noProof/>
          <w:lang w:eastAsia="en-GB"/>
        </w:rPr>
        <w:t xml:space="preserve">with </w:t>
      </w:r>
      <w:r w:rsidRPr="001B7B43">
        <w:rPr>
          <w:noProof/>
          <w:lang w:eastAsia="en-GB"/>
        </w:rPr>
        <w:t xml:space="preserve">key projects </w:t>
      </w:r>
      <w:r w:rsidRPr="001B7B43">
        <w:rPr>
          <w:bCs/>
          <w:noProof/>
          <w:lang w:eastAsia="en-GB"/>
        </w:rPr>
        <w:t xml:space="preserve">progressing slowly, while efforts </w:t>
      </w:r>
      <w:r w:rsidRPr="001B7B43">
        <w:rPr>
          <w:noProof/>
          <w:lang w:eastAsia="en-GB"/>
        </w:rPr>
        <w:t>to strengthen the alternative dispute resolution framework </w:t>
      </w:r>
      <w:r>
        <w:rPr>
          <w:noProof/>
          <w:lang w:eastAsia="en-GB"/>
        </w:rPr>
        <w:t>continue</w:t>
      </w:r>
      <w:r w:rsidRPr="001B7B43">
        <w:rPr>
          <w:noProof/>
          <w:lang w:eastAsia="en-GB"/>
        </w:rPr>
        <w:t xml:space="preserve">. </w:t>
      </w:r>
      <w:r w:rsidRPr="001B7B43">
        <w:rPr>
          <w:bCs/>
          <w:noProof/>
          <w:lang w:eastAsia="en-GB"/>
        </w:rPr>
        <w:t xml:space="preserve">Challenges </w:t>
      </w:r>
      <w:r>
        <w:rPr>
          <w:bCs/>
          <w:noProof/>
          <w:lang w:eastAsia="en-GB"/>
        </w:rPr>
        <w:t>regarding</w:t>
      </w:r>
      <w:r w:rsidRPr="001B7B43">
        <w:rPr>
          <w:bCs/>
          <w:noProof/>
          <w:lang w:eastAsia="en-GB"/>
        </w:rPr>
        <w:t xml:space="preserve"> judicial recruitments and infrastructure persist. </w:t>
      </w:r>
      <w:r>
        <w:rPr>
          <w:bCs/>
          <w:noProof/>
          <w:lang w:eastAsia="en-GB"/>
        </w:rPr>
        <w:t>While t</w:t>
      </w:r>
      <w:r w:rsidRPr="001B7B43">
        <w:rPr>
          <w:bCs/>
          <w:noProof/>
          <w:lang w:eastAsia="en-GB"/>
        </w:rPr>
        <w:t>he clearance of backlog cases is progressing, and new procedural rules aim to enhance efficiency, the duration of judicial proceedings and the delay</w:t>
      </w:r>
      <w:r>
        <w:rPr>
          <w:bCs/>
          <w:noProof/>
          <w:lang w:eastAsia="en-GB"/>
        </w:rPr>
        <w:t>s</w:t>
      </w:r>
      <w:r w:rsidRPr="001B7B43">
        <w:rPr>
          <w:bCs/>
          <w:noProof/>
          <w:lang w:eastAsia="en-GB"/>
        </w:rPr>
        <w:t xml:space="preserve"> in making the Commercial Court operational continue to raise serious concerns, including among the business community. The establishment of an </w:t>
      </w:r>
      <w:r w:rsidR="00727161">
        <w:rPr>
          <w:bCs/>
          <w:noProof/>
          <w:lang w:eastAsia="en-GB"/>
        </w:rPr>
        <w:t>I</w:t>
      </w:r>
      <w:r w:rsidRPr="001B7B43">
        <w:rPr>
          <w:bCs/>
          <w:noProof/>
          <w:lang w:eastAsia="en-GB"/>
        </w:rPr>
        <w:t>ndependent Court Service, that </w:t>
      </w:r>
      <w:r>
        <w:rPr>
          <w:bCs/>
          <w:noProof/>
          <w:lang w:eastAsia="en-GB"/>
        </w:rPr>
        <w:t>seeks to</w:t>
      </w:r>
      <w:r w:rsidRPr="001B7B43">
        <w:rPr>
          <w:bCs/>
          <w:noProof/>
          <w:lang w:val="en-IE" w:eastAsia="en-GB"/>
        </w:rPr>
        <w:t xml:space="preserve"> streamlin</w:t>
      </w:r>
      <w:r>
        <w:rPr>
          <w:bCs/>
          <w:noProof/>
          <w:lang w:val="en-IE" w:eastAsia="en-GB"/>
        </w:rPr>
        <w:t>e</w:t>
      </w:r>
      <w:r w:rsidRPr="001B7B43">
        <w:rPr>
          <w:bCs/>
          <w:noProof/>
          <w:lang w:val="en-IE" w:eastAsia="en-GB"/>
        </w:rPr>
        <w:t xml:space="preserve"> court administration and alleviat</w:t>
      </w:r>
      <w:r>
        <w:rPr>
          <w:bCs/>
          <w:noProof/>
          <w:lang w:val="en-IE" w:eastAsia="en-GB"/>
        </w:rPr>
        <w:t xml:space="preserve">e </w:t>
      </w:r>
      <w:r w:rsidRPr="001B7B43">
        <w:rPr>
          <w:bCs/>
          <w:noProof/>
          <w:lang w:val="en-IE" w:eastAsia="en-GB"/>
        </w:rPr>
        <w:t>the burden on the judiciary, face</w:t>
      </w:r>
      <w:r>
        <w:rPr>
          <w:bCs/>
          <w:noProof/>
          <w:lang w:val="en-IE" w:eastAsia="en-GB"/>
        </w:rPr>
        <w:t>s</w:t>
      </w:r>
      <w:r w:rsidRPr="001B7B43">
        <w:rPr>
          <w:bCs/>
          <w:noProof/>
          <w:lang w:val="en-IE" w:eastAsia="en-GB"/>
        </w:rPr>
        <w:t xml:space="preserve"> persistent delays</w:t>
      </w:r>
      <w:r w:rsidRPr="001B7B43">
        <w:rPr>
          <w:bCs/>
          <w:noProof/>
          <w:lang w:eastAsia="en-GB"/>
        </w:rPr>
        <w:t>.</w:t>
      </w:r>
    </w:p>
    <w:p w14:paraId="10A6CE8E" w14:textId="2C02A044" w:rsidR="0040534C" w:rsidRPr="00912AA2" w:rsidRDefault="0040534C" w:rsidP="0040534C">
      <w:pPr>
        <w:pBdr>
          <w:top w:val="single" w:sz="4" w:space="1" w:color="auto"/>
          <w:left w:val="single" w:sz="4" w:space="4" w:color="auto"/>
          <w:bottom w:val="single" w:sz="4" w:space="17" w:color="auto"/>
          <w:right w:val="single" w:sz="4" w:space="4" w:color="auto"/>
        </w:pBdr>
        <w:rPr>
          <w:noProof/>
          <w:lang w:eastAsia="en-GB"/>
        </w:rPr>
      </w:pPr>
      <w:r>
        <w:rPr>
          <w:noProof/>
          <w:lang w:eastAsia="en-GB"/>
        </w:rPr>
        <w:t xml:space="preserve">The </w:t>
      </w:r>
      <w:r w:rsidRPr="00E81F09">
        <w:rPr>
          <w:noProof/>
          <w:lang w:eastAsia="en-GB"/>
        </w:rPr>
        <w:t xml:space="preserve">Independent Authority against Corruption (IAAC) </w:t>
      </w:r>
      <w:r>
        <w:rPr>
          <w:noProof/>
          <w:lang w:eastAsia="en-GB"/>
        </w:rPr>
        <w:t xml:space="preserve">has been strengthened </w:t>
      </w:r>
      <w:r w:rsidR="00450185" w:rsidRPr="00E81F09">
        <w:rPr>
          <w:noProof/>
          <w:lang w:eastAsia="en-GB"/>
        </w:rPr>
        <w:t xml:space="preserve">with the adoption of new legislation </w:t>
      </w:r>
      <w:r w:rsidR="00450185" w:rsidRPr="00EA3CE0">
        <w:rPr>
          <w:noProof/>
        </w:rPr>
        <w:t>on recruitments</w:t>
      </w:r>
      <w:r w:rsidR="005D4FB1" w:rsidRPr="005D4FB1">
        <w:rPr>
          <w:noProof/>
          <w:lang w:eastAsia="en-GB"/>
        </w:rPr>
        <w:t>.</w:t>
      </w:r>
      <w:r>
        <w:rPr>
          <w:noProof/>
          <w:lang w:eastAsia="en-GB"/>
        </w:rPr>
        <w:t xml:space="preserve"> </w:t>
      </w:r>
      <w:r w:rsidRPr="008A7BD6">
        <w:rPr>
          <w:noProof/>
          <w:lang w:eastAsia="en-GB"/>
        </w:rPr>
        <w:t>Efforts continue to investigate high-level corruption with further new convictions</w:t>
      </w:r>
      <w:r w:rsidRPr="00C857BD">
        <w:rPr>
          <w:noProof/>
          <w:lang w:eastAsia="en-GB"/>
        </w:rPr>
        <w:t xml:space="preserve">, new police structures are being created </w:t>
      </w:r>
      <w:r w:rsidRPr="00912AA2">
        <w:rPr>
          <w:noProof/>
          <w:lang w:eastAsia="en-GB"/>
        </w:rPr>
        <w:t>and there are calls for specific trainings for judges and prosecutors</w:t>
      </w:r>
      <w:r w:rsidRPr="0029331F">
        <w:rPr>
          <w:noProof/>
          <w:lang w:eastAsia="en-GB"/>
        </w:rPr>
        <w:t>. The new</w:t>
      </w:r>
      <w:r w:rsidRPr="00912AA2">
        <w:rPr>
          <w:noProof/>
          <w:lang w:eastAsia="en-GB"/>
        </w:rPr>
        <w:t xml:space="preserve"> legislation on asset declarations for elected </w:t>
      </w:r>
      <w:r>
        <w:rPr>
          <w:noProof/>
          <w:lang w:eastAsia="en-GB"/>
        </w:rPr>
        <w:t xml:space="preserve">and appointed </w:t>
      </w:r>
      <w:r w:rsidRPr="00912AA2">
        <w:rPr>
          <w:noProof/>
          <w:lang w:eastAsia="en-GB"/>
        </w:rPr>
        <w:t xml:space="preserve">officials </w:t>
      </w:r>
      <w:r w:rsidRPr="00A00589">
        <w:rPr>
          <w:noProof/>
          <w:lang w:eastAsia="en-GB"/>
        </w:rPr>
        <w:t>started to apply</w:t>
      </w:r>
      <w:r>
        <w:rPr>
          <w:noProof/>
          <w:lang w:eastAsia="en-GB"/>
        </w:rPr>
        <w:t xml:space="preserve">. </w:t>
      </w:r>
      <w:r w:rsidR="00E61E5A">
        <w:rPr>
          <w:noProof/>
          <w:lang w:eastAsia="en-GB"/>
        </w:rPr>
        <w:t>A</w:t>
      </w:r>
      <w:r w:rsidR="00E61E5A" w:rsidRPr="00E61E5A">
        <w:rPr>
          <w:noProof/>
          <w:lang w:eastAsia="en-GB"/>
        </w:rPr>
        <w:t xml:space="preserve">s regards post-employment, a new law has enhanced restrictions while </w:t>
      </w:r>
      <w:r w:rsidR="00E61E5A">
        <w:rPr>
          <w:noProof/>
          <w:lang w:eastAsia="en-GB"/>
        </w:rPr>
        <w:t>i</w:t>
      </w:r>
      <w:r w:rsidRPr="0052075A">
        <w:rPr>
          <w:noProof/>
          <w:lang w:eastAsia="en-GB"/>
        </w:rPr>
        <w:t xml:space="preserve">nitiatives </w:t>
      </w:r>
      <w:r w:rsidRPr="0052075A" w:rsidDel="00793F8D">
        <w:rPr>
          <w:noProof/>
          <w:lang w:eastAsia="en-GB"/>
        </w:rPr>
        <w:t>are</w:t>
      </w:r>
      <w:r w:rsidR="00F072D2">
        <w:rPr>
          <w:noProof/>
          <w:lang w:eastAsia="en-GB"/>
        </w:rPr>
        <w:t xml:space="preserve"> </w:t>
      </w:r>
      <w:r w:rsidRPr="0052075A">
        <w:rPr>
          <w:noProof/>
          <w:lang w:eastAsia="en-GB"/>
        </w:rPr>
        <w:t xml:space="preserve">underway to expand </w:t>
      </w:r>
      <w:r w:rsidR="00E61E5A" w:rsidRPr="00E61E5A">
        <w:rPr>
          <w:noProof/>
          <w:lang w:eastAsia="en-GB"/>
        </w:rPr>
        <w:t>the categories of persons subject to oversight</w:t>
      </w:r>
      <w:r w:rsidRPr="0029331F">
        <w:rPr>
          <w:noProof/>
          <w:lang w:eastAsia="en-GB"/>
        </w:rPr>
        <w:t xml:space="preserve">. </w:t>
      </w:r>
      <w:r w:rsidRPr="00912AA2">
        <w:rPr>
          <w:noProof/>
          <w:lang w:eastAsia="en-GB"/>
        </w:rPr>
        <w:t>The monitoring of the law on lobbying is being strengthened</w:t>
      </w:r>
      <w:r w:rsidRPr="0029331F">
        <w:rPr>
          <w:noProof/>
          <w:lang w:eastAsia="en-GB"/>
        </w:rPr>
        <w:t xml:space="preserve">. </w:t>
      </w:r>
      <w:r w:rsidRPr="008A7BD6">
        <w:rPr>
          <w:bCs/>
          <w:noProof/>
          <w:lang w:eastAsia="en-GB"/>
        </w:rPr>
        <w:t xml:space="preserve">Integrity rules were </w:t>
      </w:r>
      <w:r w:rsidRPr="00FB6E37">
        <w:rPr>
          <w:noProof/>
          <w:lang w:eastAsia="en-GB"/>
        </w:rPr>
        <w:t>strengthened</w:t>
      </w:r>
      <w:r w:rsidRPr="008A7BD6">
        <w:rPr>
          <w:bCs/>
          <w:noProof/>
          <w:lang w:eastAsia="en-GB"/>
        </w:rPr>
        <w:t xml:space="preserve"> and </w:t>
      </w:r>
      <w:r w:rsidRPr="00912AA2">
        <w:rPr>
          <w:noProof/>
          <w:lang w:eastAsia="en-GB"/>
        </w:rPr>
        <w:t xml:space="preserve">a comprehensive strategy for the integrity of persons entrusted with top executive functions </w:t>
      </w:r>
      <w:r w:rsidRPr="008A7BD6">
        <w:rPr>
          <w:bCs/>
          <w:noProof/>
          <w:lang w:eastAsia="en-GB"/>
        </w:rPr>
        <w:t>is in preparation</w:t>
      </w:r>
      <w:r w:rsidRPr="0029331F">
        <w:rPr>
          <w:noProof/>
          <w:lang w:eastAsia="en-GB"/>
        </w:rPr>
        <w:t xml:space="preserve">. </w:t>
      </w:r>
      <w:r w:rsidRPr="000515C3">
        <w:rPr>
          <w:noProof/>
          <w:lang w:eastAsia="en-GB"/>
        </w:rPr>
        <w:t>Plans to revise the law on political party financing aim to address previously identified shortcomings.</w:t>
      </w:r>
      <w:r w:rsidRPr="000515C3">
        <w:rPr>
          <w:noProof/>
        </w:rPr>
        <w:t xml:space="preserve"> </w:t>
      </w:r>
      <w:r w:rsidRPr="000515C3">
        <w:rPr>
          <w:noProof/>
          <w:lang w:eastAsia="en-GB"/>
        </w:rPr>
        <w:t>Measures continue to be deployed</w:t>
      </w:r>
      <w:r w:rsidRPr="00366DEA">
        <w:rPr>
          <w:noProof/>
          <w:lang w:eastAsia="en-GB"/>
        </w:rPr>
        <w:t xml:space="preserve"> to tackle risks in </w:t>
      </w:r>
      <w:r>
        <w:rPr>
          <w:noProof/>
          <w:lang w:eastAsia="en-GB"/>
        </w:rPr>
        <w:t xml:space="preserve">public </w:t>
      </w:r>
      <w:r w:rsidRPr="00366DEA">
        <w:rPr>
          <w:noProof/>
          <w:lang w:eastAsia="en-GB"/>
        </w:rPr>
        <w:t>procurement</w:t>
      </w:r>
      <w:r>
        <w:rPr>
          <w:noProof/>
          <w:lang w:eastAsia="en-GB"/>
        </w:rPr>
        <w:t>.</w:t>
      </w:r>
    </w:p>
    <w:p w14:paraId="6A4EDC60" w14:textId="04CD1D0A" w:rsidR="0040534C" w:rsidRPr="00A36D92" w:rsidRDefault="0040534C" w:rsidP="0040534C">
      <w:pPr>
        <w:pBdr>
          <w:top w:val="single" w:sz="4" w:space="1" w:color="auto"/>
          <w:left w:val="single" w:sz="4" w:space="4" w:color="auto"/>
          <w:bottom w:val="single" w:sz="4" w:space="17" w:color="auto"/>
          <w:right w:val="single" w:sz="4" w:space="4" w:color="auto"/>
        </w:pBdr>
        <w:spacing w:after="0"/>
        <w:rPr>
          <w:noProof/>
          <w:lang w:val="en-IE" w:eastAsia="en-GB"/>
        </w:rPr>
      </w:pPr>
      <w:r w:rsidRPr="004365F0">
        <w:rPr>
          <w:noProof/>
        </w:rPr>
        <w:t>Measure</w:t>
      </w:r>
      <w:r w:rsidRPr="1F5D9934">
        <w:rPr>
          <w:noProof/>
        </w:rPr>
        <w:t>s</w:t>
      </w:r>
      <w:r w:rsidRPr="004365F0">
        <w:rPr>
          <w:noProof/>
        </w:rPr>
        <w:t xml:space="preserve"> are being taken to ensure the adequacy of the resources of</w:t>
      </w:r>
      <w:r>
        <w:rPr>
          <w:b/>
          <w:bCs/>
          <w:noProof/>
        </w:rPr>
        <w:t xml:space="preserve"> </w:t>
      </w:r>
      <w:r w:rsidRPr="1F5D9934">
        <w:rPr>
          <w:noProof/>
          <w:lang w:eastAsia="en-GB"/>
        </w:rPr>
        <w:t xml:space="preserve">Cyprus’s </w:t>
      </w:r>
      <w:r w:rsidRPr="1F5D9934">
        <w:rPr>
          <w:noProof/>
        </w:rPr>
        <w:t xml:space="preserve">regulator for audiovisual media services. </w:t>
      </w:r>
      <w:r w:rsidRPr="00A26041">
        <w:rPr>
          <w:noProof/>
          <w:szCs w:val="24"/>
        </w:rPr>
        <w:t>Reforms to improve t</w:t>
      </w:r>
      <w:r w:rsidRPr="00A26041">
        <w:rPr>
          <w:noProof/>
        </w:rPr>
        <w:t>he</w:t>
      </w:r>
      <w:r w:rsidRPr="1F5D9934">
        <w:rPr>
          <w:noProof/>
        </w:rPr>
        <w:t xml:space="preserve"> legal framework relating to transparency of media ownership are at an advanced stage. Reforms are also underway to improve transparency in the field of state advertising and to</w:t>
      </w:r>
      <w:r w:rsidRPr="00702DBE">
        <w:rPr>
          <w:noProof/>
          <w:lang w:eastAsia="fr-FR"/>
        </w:rPr>
        <w:t xml:space="preserve"> strengthen the rules and mechanisms to enhance the independent governance of public service media.</w:t>
      </w:r>
      <w:r w:rsidRPr="1F5D9934">
        <w:rPr>
          <w:noProof/>
        </w:rPr>
        <w:t xml:space="preserve"> </w:t>
      </w:r>
      <w:r w:rsidRPr="00FC6AD4">
        <w:rPr>
          <w:noProof/>
          <w:lang w:eastAsia="fr-FR"/>
        </w:rPr>
        <w:t>The Office of the Information Commissioner continues to raise awareness</w:t>
      </w:r>
      <w:r>
        <w:rPr>
          <w:noProof/>
          <w:lang w:eastAsia="fr-FR"/>
        </w:rPr>
        <w:t xml:space="preserve"> on</w:t>
      </w:r>
      <w:r w:rsidRPr="00FC6AD4">
        <w:rPr>
          <w:noProof/>
          <w:lang w:eastAsia="fr-FR"/>
        </w:rPr>
        <w:t xml:space="preserve"> </w:t>
      </w:r>
      <w:r>
        <w:rPr>
          <w:noProof/>
          <w:lang w:eastAsia="fr-FR"/>
        </w:rPr>
        <w:t xml:space="preserve">the law regulating </w:t>
      </w:r>
      <w:r w:rsidRPr="00FC6AD4">
        <w:rPr>
          <w:noProof/>
          <w:lang w:eastAsia="fr-FR"/>
        </w:rPr>
        <w:t>public access to information, while further measures are needed</w:t>
      </w:r>
      <w:r w:rsidRPr="00FC6AD4" w:rsidDel="00202E28">
        <w:rPr>
          <w:noProof/>
          <w:lang w:eastAsia="fr-FR"/>
        </w:rPr>
        <w:t xml:space="preserve"> to improve </w:t>
      </w:r>
      <w:r>
        <w:rPr>
          <w:noProof/>
          <w:lang w:eastAsia="fr-FR"/>
        </w:rPr>
        <w:t>it</w:t>
      </w:r>
      <w:r w:rsidRPr="00FC6AD4">
        <w:rPr>
          <w:noProof/>
          <w:lang w:eastAsia="fr-FR"/>
        </w:rPr>
        <w:t>.</w:t>
      </w:r>
      <w:r w:rsidRPr="1F5D9934">
        <w:rPr>
          <w:noProof/>
          <w:lang w:val="en-US"/>
        </w:rPr>
        <w:t xml:space="preserve"> </w:t>
      </w:r>
      <w:r w:rsidRPr="003820E2">
        <w:rPr>
          <w:noProof/>
        </w:rPr>
        <w:t xml:space="preserve">The overall situation as regards the safety of journalists remains stable, however </w:t>
      </w:r>
      <w:r w:rsidRPr="00FB6E37">
        <w:rPr>
          <w:noProof/>
        </w:rPr>
        <w:t>they</w:t>
      </w:r>
      <w:r w:rsidRPr="003820E2">
        <w:rPr>
          <w:noProof/>
        </w:rPr>
        <w:t xml:space="preserve"> </w:t>
      </w:r>
      <w:r w:rsidRPr="0052075A">
        <w:rPr>
          <w:noProof/>
        </w:rPr>
        <w:t>continue to experience precarious working conditions.</w:t>
      </w:r>
      <w:r w:rsidRPr="1F5D9934">
        <w:rPr>
          <w:noProof/>
          <w:lang w:val="en-US"/>
        </w:rPr>
        <w:t xml:space="preserve"> </w:t>
      </w:r>
    </w:p>
    <w:p w14:paraId="6E6930F4" w14:textId="77777777" w:rsidR="0040534C" w:rsidRPr="005E2E83" w:rsidRDefault="0040534C" w:rsidP="0040534C">
      <w:pPr>
        <w:pBdr>
          <w:top w:val="single" w:sz="4" w:space="1" w:color="auto"/>
          <w:left w:val="single" w:sz="4" w:space="4" w:color="auto"/>
          <w:bottom w:val="single" w:sz="4" w:space="17" w:color="auto"/>
          <w:right w:val="single" w:sz="4" w:space="4" w:color="auto"/>
        </w:pBdr>
        <w:spacing w:after="0"/>
        <w:rPr>
          <w:noProof/>
          <w:lang w:val="en-IE" w:eastAsia="en-GB"/>
        </w:rPr>
      </w:pPr>
    </w:p>
    <w:p w14:paraId="5487F7ED" w14:textId="2DE9F0EE" w:rsidR="00BA5427" w:rsidRDefault="0040534C" w:rsidP="0040534C">
      <w:pPr>
        <w:pBdr>
          <w:top w:val="single" w:sz="4" w:space="1" w:color="auto"/>
          <w:left w:val="single" w:sz="4" w:space="4" w:color="auto"/>
          <w:bottom w:val="single" w:sz="4" w:space="17" w:color="auto"/>
          <w:right w:val="single" w:sz="4" w:space="4" w:color="auto"/>
        </w:pBdr>
        <w:rPr>
          <w:noProof/>
          <w:lang w:eastAsia="en-GB"/>
        </w:rPr>
      </w:pPr>
      <w:r>
        <w:rPr>
          <w:bCs/>
          <w:noProof/>
          <w:lang w:eastAsia="en-GB"/>
        </w:rPr>
        <w:t>Substantial</w:t>
      </w:r>
      <w:r w:rsidRPr="00396960">
        <w:rPr>
          <w:bCs/>
          <w:noProof/>
          <w:lang w:eastAsia="en-GB"/>
        </w:rPr>
        <w:t xml:space="preserve"> steps have been taken to enhance public participation in decision-making. </w:t>
      </w:r>
      <w:r w:rsidRPr="006162AE">
        <w:rPr>
          <w:noProof/>
          <w:lang w:eastAsia="fr-FR"/>
        </w:rPr>
        <w:t>Business</w:t>
      </w:r>
      <w:r>
        <w:rPr>
          <w:noProof/>
          <w:lang w:eastAsia="fr-FR"/>
        </w:rPr>
        <w:t>es</w:t>
      </w:r>
      <w:r w:rsidRPr="006162AE">
        <w:rPr>
          <w:noProof/>
          <w:lang w:eastAsia="fr-FR"/>
        </w:rPr>
        <w:t xml:space="preserve"> continue to see challenges in the quality of law-making and the need to </w:t>
      </w:r>
      <w:r w:rsidRPr="00396960">
        <w:rPr>
          <w:bCs/>
          <w:noProof/>
          <w:lang w:eastAsia="fr-FR"/>
        </w:rPr>
        <w:t xml:space="preserve">streamline legislation. </w:t>
      </w:r>
      <w:r w:rsidR="009B656C">
        <w:rPr>
          <w:bCs/>
          <w:noProof/>
          <w:lang w:eastAsia="fr-FR"/>
        </w:rPr>
        <w:t xml:space="preserve">The </w:t>
      </w:r>
      <w:r w:rsidR="00C04752">
        <w:rPr>
          <w:bCs/>
          <w:noProof/>
          <w:lang w:eastAsia="fr-FR"/>
        </w:rPr>
        <w:t xml:space="preserve">Audit Office </w:t>
      </w:r>
      <w:r w:rsidR="00EF38A8">
        <w:rPr>
          <w:bCs/>
          <w:noProof/>
          <w:lang w:eastAsia="fr-FR"/>
        </w:rPr>
        <w:t>gained financial autonomy and</w:t>
      </w:r>
      <w:r w:rsidR="009B656C">
        <w:rPr>
          <w:bCs/>
          <w:noProof/>
          <w:lang w:eastAsia="fr-FR"/>
        </w:rPr>
        <w:t xml:space="preserve"> s</w:t>
      </w:r>
      <w:r w:rsidRPr="00396960">
        <w:rPr>
          <w:bCs/>
          <w:noProof/>
          <w:lang w:eastAsia="fr-FR"/>
        </w:rPr>
        <w:t>afeguards were introduced to the appointment procedure for the Auditor General and the Deputy Auditor General to enhance their independence</w:t>
      </w:r>
      <w:r w:rsidRPr="005A0CA2">
        <w:rPr>
          <w:bCs/>
          <w:noProof/>
          <w:lang w:eastAsia="fr-FR"/>
        </w:rPr>
        <w:t xml:space="preserve">. The Audit Office </w:t>
      </w:r>
      <w:r>
        <w:rPr>
          <w:bCs/>
          <w:noProof/>
          <w:lang w:eastAsia="fr-FR"/>
        </w:rPr>
        <w:t xml:space="preserve">is </w:t>
      </w:r>
      <w:r w:rsidRPr="005A0CA2">
        <w:rPr>
          <w:bCs/>
          <w:noProof/>
          <w:lang w:eastAsia="fr-FR"/>
        </w:rPr>
        <w:t>seek</w:t>
      </w:r>
      <w:r>
        <w:rPr>
          <w:bCs/>
          <w:noProof/>
          <w:lang w:eastAsia="fr-FR"/>
        </w:rPr>
        <w:t>ing ways</w:t>
      </w:r>
      <w:r w:rsidRPr="005A0CA2">
        <w:rPr>
          <w:bCs/>
          <w:noProof/>
          <w:lang w:eastAsia="fr-FR"/>
        </w:rPr>
        <w:t xml:space="preserve"> to improve access to information necessary for </w:t>
      </w:r>
      <w:r>
        <w:rPr>
          <w:bCs/>
          <w:noProof/>
          <w:lang w:eastAsia="fr-FR"/>
        </w:rPr>
        <w:t>the performance of its tasks</w:t>
      </w:r>
      <w:r w:rsidRPr="005A0CA2">
        <w:rPr>
          <w:bCs/>
          <w:noProof/>
          <w:lang w:eastAsia="fr-FR"/>
        </w:rPr>
        <w:t>. Reforms to improve the framework for Civil Society</w:t>
      </w:r>
      <w:r w:rsidRPr="00396960">
        <w:rPr>
          <w:bCs/>
          <w:noProof/>
          <w:lang w:eastAsia="fr-FR"/>
        </w:rPr>
        <w:t xml:space="preserve"> Organisations are advancing. </w:t>
      </w:r>
      <w:r w:rsidRPr="006B483F">
        <w:rPr>
          <w:noProof/>
          <w:lang w:eastAsia="en-GB"/>
        </w:rPr>
        <w:t xml:space="preserve">Parliament’s </w:t>
      </w:r>
      <w:r w:rsidRPr="006B483F">
        <w:rPr>
          <w:noProof/>
          <w:lang w:val="en-US" w:eastAsia="en-GB"/>
        </w:rPr>
        <w:t xml:space="preserve">regular stakeholder discussions </w:t>
      </w:r>
      <w:r w:rsidRPr="006B483F">
        <w:rPr>
          <w:noProof/>
          <w:lang w:eastAsia="en-GB"/>
        </w:rPr>
        <w:t>foster public debate on the rule of law</w:t>
      </w:r>
      <w:r w:rsidRPr="00396960">
        <w:rPr>
          <w:bCs/>
          <w:noProof/>
          <w:lang w:eastAsia="en-GB"/>
        </w:rPr>
        <w:t>.</w:t>
      </w:r>
      <w:r w:rsidRPr="00396960">
        <w:rPr>
          <w:noProof/>
          <w:lang w:eastAsia="en-GB"/>
        </w:rPr>
        <w:br w:type="page"/>
      </w:r>
    </w:p>
    <w:p w14:paraId="4A8A57E3" w14:textId="77777777" w:rsidR="00BA5427" w:rsidRPr="00855ABF" w:rsidRDefault="00BA5427" w:rsidP="00BA5427">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lastRenderedPageBreak/>
        <w:t>Recommendations</w:t>
      </w:r>
    </w:p>
    <w:p w14:paraId="5CAA2718" w14:textId="77777777" w:rsidR="00EB345F" w:rsidRPr="00D16464" w:rsidRDefault="00EB345F" w:rsidP="00EB345F">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efficiency of the justice system, the Commission concludes the following: </w:t>
      </w:r>
    </w:p>
    <w:p w14:paraId="06AA98D7" w14:textId="77777777" w:rsidR="00EB345F" w:rsidRPr="00D16464" w:rsidRDefault="00EB345F" w:rsidP="00EB345F">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59B630C4" w14:textId="77777777" w:rsidR="00EB345F" w:rsidRPr="00D16464" w:rsidRDefault="00EB345F" w:rsidP="00EB345F">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lang w:val="en-IE" w:eastAsia="en-GB"/>
        </w:rPr>
      </w:pPr>
      <w:r>
        <w:rPr>
          <w:noProof/>
          <w:lang w:val="en-IE" w:eastAsia="en-GB"/>
        </w:rPr>
        <w:t xml:space="preserve">Limited further progress has been made on the reform of the Law Office and on establishing an effective review of decisions not to prosecute or discontinue proceedings. Since relevant draft legislation remains pending before Parliament, </w:t>
      </w:r>
      <w:r>
        <w:rPr>
          <w:noProof/>
          <w:szCs w:val="24"/>
          <w:lang w:val="en-IE"/>
        </w:rPr>
        <w:t xml:space="preserve">it is recommended to Cyprus </w:t>
      </w:r>
      <w:r>
        <w:rPr>
          <w:i/>
          <w:noProof/>
          <w:szCs w:val="24"/>
          <w:lang w:val="en-IE"/>
        </w:rPr>
        <w:t>to</w:t>
      </w:r>
      <w:r>
        <w:rPr>
          <w:b/>
          <w:i/>
          <w:noProof/>
          <w:szCs w:val="24"/>
          <w:lang w:val="en-IE"/>
        </w:rPr>
        <w:t xml:space="preserve"> </w:t>
      </w:r>
      <w:r>
        <w:rPr>
          <w:i/>
          <w:noProof/>
          <w:szCs w:val="24"/>
          <w:lang w:val="en-IE"/>
        </w:rPr>
        <w:t>finalise the ongoing reform of the Law Office and the establishment of the Office of the Public Prosecutor General and to establish an effective review of decisions not to prosecute or to discontinue proceedings, including for victimless offences, taking into account European standards on independence and autonomy of the prosecution</w:t>
      </w:r>
      <w:r>
        <w:rPr>
          <w:noProof/>
          <w:szCs w:val="24"/>
          <w:lang w:val="en-IE"/>
        </w:rPr>
        <w:t>.</w:t>
      </w:r>
    </w:p>
    <w:p w14:paraId="3D79C60A" w14:textId="77777777" w:rsidR="00EB345F" w:rsidRPr="00D16464" w:rsidRDefault="00EB345F" w:rsidP="00EB345F">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lang w:val="en-IE" w:eastAsia="en-GB"/>
        </w:rPr>
      </w:pPr>
      <w:r>
        <w:rPr>
          <w:bCs/>
          <w:noProof/>
          <w:lang w:val="en-IE" w:eastAsia="en-GB"/>
        </w:rPr>
        <w:t>The duration of court proceedings remains a serious concern and t</w:t>
      </w:r>
      <w:r>
        <w:rPr>
          <w:bCs/>
          <w:noProof/>
          <w:lang w:eastAsia="en-GB"/>
        </w:rPr>
        <w:t>he establishment of an independent Court Service to</w:t>
      </w:r>
      <w:r>
        <w:rPr>
          <w:bCs/>
          <w:noProof/>
          <w:lang w:val="en-IE" w:eastAsia="en-GB"/>
        </w:rPr>
        <w:t xml:space="preserve"> streamline court administration faces delays. I</w:t>
      </w:r>
      <w:r>
        <w:rPr>
          <w:noProof/>
          <w:lang w:val="en-IE" w:eastAsia="en-GB"/>
        </w:rPr>
        <w:t xml:space="preserve">t is recommended to Cyprus </w:t>
      </w:r>
      <w:r>
        <w:rPr>
          <w:i/>
          <w:noProof/>
          <w:lang w:val="en-IE" w:eastAsia="en-GB"/>
        </w:rPr>
        <w:t>to take forward plans to establish an independent Court Service with a view to improving the efficiency of justice</w:t>
      </w:r>
      <w:r>
        <w:rPr>
          <w:noProof/>
          <w:lang w:val="en-IE" w:eastAsia="en-GB"/>
        </w:rPr>
        <w:t>.</w:t>
      </w:r>
    </w:p>
    <w:p w14:paraId="03AF4A9F" w14:textId="77777777" w:rsidR="00EB345F" w:rsidRPr="00D16464" w:rsidRDefault="00EB345F" w:rsidP="00EB345F">
      <w:pPr>
        <w:numPr>
          <w:ilvl w:val="0"/>
          <w:numId w:val="25"/>
        </w:num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Significant progress has been made on the legislative reform to strengthen the Independent Authority against Corruption (IAAC) and to ensure it has the human and technical resources to effectively perform its task, as new legislation was adopted on recruitments. To ensure a fully effective IAAC, further measures remain necessary. To address this, it is recommended to Cyprus </w:t>
      </w:r>
      <w:r>
        <w:rPr>
          <w:i/>
          <w:noProof/>
          <w:szCs w:val="24"/>
          <w:lang w:val="en-IE" w:eastAsia="en-GB"/>
        </w:rPr>
        <w:t>to enhance the operational effectiveness of the IAAC</w:t>
      </w:r>
      <w:r>
        <w:rPr>
          <w:noProof/>
          <w:szCs w:val="24"/>
          <w:lang w:val="en-IE" w:eastAsia="en-GB"/>
        </w:rPr>
        <w:t xml:space="preserve">. </w:t>
      </w:r>
    </w:p>
    <w:p w14:paraId="76CE7932" w14:textId="77777777" w:rsidR="00EB345F" w:rsidRPr="00D16464" w:rsidRDefault="00EB345F" w:rsidP="00EB345F">
      <w:pPr>
        <w:pBdr>
          <w:top w:val="single" w:sz="4" w:space="1" w:color="auto"/>
          <w:left w:val="single" w:sz="4" w:space="4" w:color="auto"/>
          <w:bottom w:val="single" w:sz="4" w:space="17" w:color="auto"/>
          <w:right w:val="single" w:sz="4" w:space="4" w:color="auto"/>
        </w:pBdr>
        <w:contextualSpacing/>
        <w:rPr>
          <w:bCs/>
          <w:noProof/>
          <w:lang w:val="en-IE" w:eastAsia="en-GB"/>
        </w:rPr>
      </w:pPr>
    </w:p>
    <w:p w14:paraId="6A0C5F49" w14:textId="77777777" w:rsidR="00EB345F" w:rsidRPr="00D16464" w:rsidRDefault="00EB345F" w:rsidP="00EB345F">
      <w:pPr>
        <w:pBdr>
          <w:top w:val="single" w:sz="4" w:space="1" w:color="auto"/>
          <w:left w:val="single" w:sz="4" w:space="4" w:color="auto"/>
          <w:bottom w:val="single" w:sz="4" w:space="17" w:color="auto"/>
          <w:right w:val="single" w:sz="4" w:space="4" w:color="auto"/>
        </w:pBdr>
        <w:contextualSpacing/>
        <w:rPr>
          <w:noProof/>
          <w:lang w:val="en-IE" w:eastAsia="en-GB"/>
        </w:rPr>
      </w:pPr>
      <w:r>
        <w:rPr>
          <w:noProof/>
          <w:lang w:val="en-IE" w:eastAsia="en-GB"/>
        </w:rPr>
        <w:t>As regards the other 2025 recommendations, the Commission concludes that:</w:t>
      </w:r>
    </w:p>
    <w:p w14:paraId="77B0518D" w14:textId="77777777" w:rsidR="00EB345F" w:rsidRPr="00D16464" w:rsidRDefault="00EB345F" w:rsidP="00EB345F">
      <w:pPr>
        <w:pBdr>
          <w:top w:val="single" w:sz="4" w:space="1" w:color="auto"/>
          <w:left w:val="single" w:sz="4" w:space="4" w:color="auto"/>
          <w:bottom w:val="single" w:sz="4" w:space="17" w:color="auto"/>
          <w:right w:val="single" w:sz="4" w:space="4" w:color="auto"/>
        </w:pBdr>
        <w:spacing w:after="0"/>
        <w:contextualSpacing/>
        <w:rPr>
          <w:b/>
          <w:noProof/>
          <w:lang w:val="en-IE" w:eastAsia="en-GB"/>
        </w:rPr>
      </w:pPr>
    </w:p>
    <w:p w14:paraId="42358CDA" w14:textId="77777777" w:rsidR="00EB345F" w:rsidRPr="00D16464" w:rsidRDefault="00EB345F" w:rsidP="00EB345F">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lang w:val="en-IE" w:eastAsia="en-GB"/>
        </w:rPr>
      </w:pPr>
      <w:r>
        <w:rPr>
          <w:noProof/>
          <w:lang w:val="en-IE" w:eastAsia="en-GB"/>
        </w:rPr>
        <w:t xml:space="preserve">Some progress has been made to (i) ensure fair and transparent distribution of advertising expenditure by the state and state-owned companies and (ii) to strengthen the rules and mechanisms to enhance the independent governance of public service media, as draft legislation has been tabled. </w:t>
      </w:r>
      <w:r>
        <w:rPr>
          <w:noProof/>
          <w:lang w:val="en-US" w:eastAsia="en-GB"/>
        </w:rPr>
        <w:t>Given that the topics of these two recommendations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1B696023" w14:textId="77777777" w:rsidR="00EB345F" w:rsidRPr="00D16464" w:rsidRDefault="00EB345F" w:rsidP="00EB345F">
      <w:pPr>
        <w:numPr>
          <w:ilvl w:val="0"/>
          <w:numId w:val="25"/>
        </w:numPr>
        <w:pBdr>
          <w:top w:val="single" w:sz="4" w:space="1" w:color="auto"/>
          <w:left w:val="single" w:sz="4" w:space="4" w:color="auto"/>
          <w:bottom w:val="single" w:sz="4" w:space="17" w:color="auto"/>
          <w:right w:val="single" w:sz="4" w:space="4" w:color="auto"/>
        </w:pBdr>
        <w:spacing w:after="200"/>
        <w:contextualSpacing/>
        <w:rPr>
          <w:noProof/>
          <w:szCs w:val="24"/>
          <w:lang w:val="en-IE" w:eastAsia="en-GB"/>
        </w:rPr>
      </w:pPr>
      <w:r>
        <w:rPr>
          <w:noProof/>
          <w:szCs w:val="24"/>
          <w:lang w:val="en-IE" w:eastAsia="en-GB"/>
        </w:rPr>
        <w:t xml:space="preserve">Significant progress has been made in introducing safeguards in the appointment procedure for the Auditor General and the Deputy Auditor General to enhance their independence, with establishing a fixed, non-renewable eight-year term and stricter qualification criteria for their appointment. Monitoring of further developments in this area will continue in the Rule of Law Report. </w:t>
      </w:r>
    </w:p>
    <w:p w14:paraId="385A69B8" w14:textId="0E674561" w:rsidR="009E6884" w:rsidRDefault="00BA5427" w:rsidP="00BA5427">
      <w:pPr>
        <w:spacing w:after="0"/>
        <w:jc w:val="left"/>
        <w:rPr>
          <w:noProof/>
          <w:lang w:eastAsia="en-GB"/>
        </w:rPr>
      </w:pPr>
      <w:r>
        <w:rPr>
          <w:noProof/>
          <w:lang w:eastAsia="en-GB"/>
        </w:rPr>
        <w:br w:type="page"/>
      </w:r>
    </w:p>
    <w:bookmarkEnd w:id="2"/>
    <w:p w14:paraId="7F3F1F87" w14:textId="4107D88C" w:rsidR="0040534C" w:rsidRPr="00C2404F" w:rsidRDefault="0040534C" w:rsidP="00C2404F">
      <w:pPr>
        <w:pStyle w:val="Heading1"/>
        <w:numPr>
          <w:ilvl w:val="0"/>
          <w:numId w:val="34"/>
        </w:numPr>
        <w:rPr>
          <w:noProof/>
          <w:u w:val="single"/>
        </w:rPr>
      </w:pPr>
      <w:r w:rsidRPr="00C2404F">
        <w:rPr>
          <w:noProof/>
          <w:u w:val="single"/>
        </w:rPr>
        <w:t>Justice System</w:t>
      </w:r>
      <w:r w:rsidRPr="00C2404F">
        <w:rPr>
          <w:b w:val="0"/>
          <w:bCs/>
          <w:noProof/>
          <w:u w:val="single"/>
          <w:vertAlign w:val="superscript"/>
        </w:rPr>
        <w:footnoteReference w:id="1"/>
      </w:r>
      <w:r w:rsidRPr="00C2404F">
        <w:rPr>
          <w:b w:val="0"/>
          <w:bCs/>
          <w:noProof/>
          <w:u w:val="single"/>
        </w:rPr>
        <w:t xml:space="preserve"> </w:t>
      </w:r>
    </w:p>
    <w:p w14:paraId="33A9757B" w14:textId="77777777" w:rsidR="0040534C" w:rsidRPr="00396960" w:rsidRDefault="0040534C" w:rsidP="0040534C">
      <w:pPr>
        <w:pStyle w:val="Heading2"/>
        <w:numPr>
          <w:ilvl w:val="0"/>
          <w:numId w:val="0"/>
        </w:numPr>
        <w:rPr>
          <w:noProof/>
        </w:rPr>
      </w:pPr>
      <w:r w:rsidRPr="00396960">
        <w:rPr>
          <w:noProof/>
        </w:rPr>
        <w:t xml:space="preserve">Independence </w:t>
      </w:r>
    </w:p>
    <w:p w14:paraId="070CB7D8" w14:textId="77777777" w:rsidR="0040534C" w:rsidRPr="00396960" w:rsidRDefault="0040534C" w:rsidP="0040534C">
      <w:pPr>
        <w:rPr>
          <w:noProof/>
          <w:lang w:eastAsia="fr-FR"/>
        </w:rPr>
      </w:pPr>
      <w:r w:rsidRPr="117DC1BB">
        <w:rPr>
          <w:b/>
          <w:bCs/>
          <w:noProof/>
          <w:color w:val="000000" w:themeColor="text1"/>
          <w:szCs w:val="24"/>
        </w:rPr>
        <w:t xml:space="preserve">The level of perceived judicial independence in Cyprus </w:t>
      </w:r>
      <w:r w:rsidRPr="38C1545D">
        <w:rPr>
          <w:b/>
          <w:bCs/>
          <w:noProof/>
          <w:color w:val="000000" w:themeColor="text1"/>
          <w:szCs w:val="24"/>
        </w:rPr>
        <w:t>is now low</w:t>
      </w:r>
      <w:r w:rsidRPr="117DC1BB">
        <w:rPr>
          <w:b/>
          <w:bCs/>
          <w:noProof/>
          <w:color w:val="000000" w:themeColor="text1"/>
          <w:szCs w:val="24"/>
        </w:rPr>
        <w:t xml:space="preserve"> among both the general public and companies</w:t>
      </w:r>
      <w:r w:rsidRPr="117DC1BB">
        <w:rPr>
          <w:noProof/>
          <w:color w:val="000000" w:themeColor="text1"/>
          <w:szCs w:val="24"/>
        </w:rPr>
        <w:t xml:space="preserve">. Overall, </w:t>
      </w:r>
      <w:r>
        <w:rPr>
          <w:noProof/>
          <w:color w:val="000000" w:themeColor="text1"/>
          <w:szCs w:val="24"/>
        </w:rPr>
        <w:t>39</w:t>
      </w:r>
      <w:r w:rsidRPr="117DC1BB">
        <w:rPr>
          <w:noProof/>
          <w:color w:val="000000" w:themeColor="text1"/>
          <w:szCs w:val="24"/>
        </w:rPr>
        <w:t xml:space="preserve">% of the general population and </w:t>
      </w:r>
      <w:r w:rsidRPr="38C1545D">
        <w:rPr>
          <w:noProof/>
          <w:color w:val="000000" w:themeColor="text1"/>
          <w:szCs w:val="24"/>
        </w:rPr>
        <w:t>34%</w:t>
      </w:r>
      <w:r w:rsidRPr="117DC1BB">
        <w:rPr>
          <w:noProof/>
          <w:color w:val="000000" w:themeColor="text1"/>
          <w:szCs w:val="24"/>
        </w:rPr>
        <w:t xml:space="preserve"> </w:t>
      </w:r>
      <w:r w:rsidRPr="38C1545D">
        <w:rPr>
          <w:noProof/>
          <w:color w:val="000000" w:themeColor="text1"/>
          <w:szCs w:val="24"/>
        </w:rPr>
        <w:t>of companies</w:t>
      </w:r>
      <w:r w:rsidRPr="117DC1BB">
        <w:rPr>
          <w:noProof/>
          <w:color w:val="000000" w:themeColor="text1"/>
          <w:szCs w:val="24"/>
        </w:rPr>
        <w:t xml:space="preserve"> perceive the level of independence of courts and judges to be ‘fairly or very good’ in 202</w:t>
      </w:r>
      <w:r>
        <w:rPr>
          <w:noProof/>
          <w:color w:val="000000" w:themeColor="text1"/>
          <w:szCs w:val="24"/>
        </w:rPr>
        <w:t>6</w:t>
      </w:r>
      <w:r>
        <w:rPr>
          <w:rStyle w:val="FootnoteReference"/>
          <w:noProof/>
          <w:szCs w:val="24"/>
        </w:rPr>
        <w:footnoteReference w:id="2"/>
      </w:r>
      <w:r w:rsidRPr="117DC1BB">
        <w:rPr>
          <w:noProof/>
          <w:color w:val="000000" w:themeColor="text1"/>
          <w:szCs w:val="24"/>
        </w:rPr>
        <w:t>. Among the general public, this figure has decreased in comparison with 202</w:t>
      </w:r>
      <w:r>
        <w:rPr>
          <w:noProof/>
          <w:color w:val="000000" w:themeColor="text1"/>
          <w:szCs w:val="24"/>
        </w:rPr>
        <w:t>5</w:t>
      </w:r>
      <w:r w:rsidRPr="117DC1BB">
        <w:rPr>
          <w:noProof/>
          <w:color w:val="000000" w:themeColor="text1"/>
          <w:szCs w:val="24"/>
        </w:rPr>
        <w:t xml:space="preserve"> (</w:t>
      </w:r>
      <w:r w:rsidRPr="00D651D3">
        <w:rPr>
          <w:noProof/>
          <w:color w:val="000000" w:themeColor="text1"/>
          <w:szCs w:val="24"/>
        </w:rPr>
        <w:t>4</w:t>
      </w:r>
      <w:r>
        <w:rPr>
          <w:noProof/>
          <w:color w:val="000000" w:themeColor="text1"/>
          <w:szCs w:val="24"/>
        </w:rPr>
        <w:t>2</w:t>
      </w:r>
      <w:r w:rsidRPr="117DC1BB">
        <w:rPr>
          <w:noProof/>
          <w:color w:val="000000" w:themeColor="text1"/>
          <w:szCs w:val="24"/>
        </w:rPr>
        <w:t xml:space="preserve">%) </w:t>
      </w:r>
      <w:r>
        <w:rPr>
          <w:noProof/>
          <w:color w:val="000000" w:themeColor="text1"/>
          <w:szCs w:val="24"/>
        </w:rPr>
        <w:t>and significantly decreased</w:t>
      </w:r>
      <w:r w:rsidRPr="117DC1BB">
        <w:rPr>
          <w:noProof/>
          <w:color w:val="000000" w:themeColor="text1"/>
          <w:szCs w:val="24"/>
        </w:rPr>
        <w:t xml:space="preserve"> in comparison </w:t>
      </w:r>
      <w:r w:rsidRPr="00C65168">
        <w:rPr>
          <w:noProof/>
          <w:color w:val="000000" w:themeColor="text1"/>
          <w:szCs w:val="24"/>
        </w:rPr>
        <w:t xml:space="preserve">with </w:t>
      </w:r>
      <w:r w:rsidRPr="00D651D3">
        <w:rPr>
          <w:noProof/>
          <w:color w:val="000000" w:themeColor="text1"/>
          <w:szCs w:val="24"/>
        </w:rPr>
        <w:t>202</w:t>
      </w:r>
      <w:r>
        <w:rPr>
          <w:noProof/>
          <w:color w:val="000000" w:themeColor="text1"/>
          <w:szCs w:val="24"/>
        </w:rPr>
        <w:t>2</w:t>
      </w:r>
      <w:r w:rsidRPr="00C65168">
        <w:rPr>
          <w:noProof/>
          <w:color w:val="000000" w:themeColor="text1"/>
          <w:szCs w:val="24"/>
        </w:rPr>
        <w:t xml:space="preserve"> </w:t>
      </w:r>
      <w:r w:rsidRPr="002C649B">
        <w:rPr>
          <w:noProof/>
          <w:color w:val="000000" w:themeColor="text1"/>
          <w:szCs w:val="24"/>
        </w:rPr>
        <w:t>(</w:t>
      </w:r>
      <w:r w:rsidRPr="008164D9">
        <w:rPr>
          <w:noProof/>
          <w:color w:val="000000" w:themeColor="text1"/>
          <w:szCs w:val="24"/>
        </w:rPr>
        <w:t>50</w:t>
      </w:r>
      <w:r w:rsidRPr="002C649B">
        <w:rPr>
          <w:noProof/>
          <w:color w:val="000000" w:themeColor="text1"/>
          <w:szCs w:val="24"/>
        </w:rPr>
        <w:t>%). The</w:t>
      </w:r>
      <w:r w:rsidRPr="117DC1BB">
        <w:rPr>
          <w:noProof/>
          <w:color w:val="000000" w:themeColor="text1"/>
          <w:szCs w:val="24"/>
        </w:rPr>
        <w:t xml:space="preserve"> perceived judicial independence among companies has </w:t>
      </w:r>
      <w:r w:rsidRPr="38C1545D">
        <w:rPr>
          <w:noProof/>
          <w:color w:val="000000" w:themeColor="text1"/>
          <w:szCs w:val="24"/>
        </w:rPr>
        <w:t>significantly</w:t>
      </w:r>
      <w:r w:rsidRPr="117DC1BB">
        <w:rPr>
          <w:noProof/>
          <w:color w:val="000000" w:themeColor="text1"/>
          <w:szCs w:val="24"/>
        </w:rPr>
        <w:t xml:space="preserve"> </w:t>
      </w:r>
      <w:r>
        <w:rPr>
          <w:noProof/>
          <w:color w:val="000000" w:themeColor="text1"/>
          <w:szCs w:val="24"/>
        </w:rPr>
        <w:t>decreased</w:t>
      </w:r>
      <w:r w:rsidRPr="117DC1BB">
        <w:rPr>
          <w:noProof/>
          <w:color w:val="000000" w:themeColor="text1"/>
          <w:szCs w:val="24"/>
        </w:rPr>
        <w:t xml:space="preserve"> in comparison </w:t>
      </w:r>
      <w:r w:rsidRPr="006C3882">
        <w:rPr>
          <w:noProof/>
          <w:color w:val="000000" w:themeColor="text1"/>
          <w:szCs w:val="24"/>
        </w:rPr>
        <w:t xml:space="preserve">with </w:t>
      </w:r>
      <w:r w:rsidRPr="38C1545D">
        <w:rPr>
          <w:noProof/>
          <w:color w:val="000000" w:themeColor="text1"/>
          <w:szCs w:val="24"/>
        </w:rPr>
        <w:t>2025 (44%),</w:t>
      </w:r>
      <w:r w:rsidRPr="117DC1BB">
        <w:rPr>
          <w:noProof/>
          <w:color w:val="000000" w:themeColor="text1"/>
          <w:szCs w:val="24"/>
        </w:rPr>
        <w:t xml:space="preserve"> </w:t>
      </w:r>
      <w:r w:rsidRPr="38C1545D">
        <w:rPr>
          <w:noProof/>
          <w:color w:val="000000" w:themeColor="text1"/>
          <w:szCs w:val="24"/>
        </w:rPr>
        <w:t>as well as</w:t>
      </w:r>
      <w:r>
        <w:rPr>
          <w:noProof/>
          <w:color w:val="000000" w:themeColor="text1"/>
          <w:szCs w:val="24"/>
        </w:rPr>
        <w:t xml:space="preserve"> in comparison with </w:t>
      </w:r>
      <w:r w:rsidRPr="006C44B8">
        <w:rPr>
          <w:noProof/>
          <w:color w:val="000000" w:themeColor="text1"/>
          <w:szCs w:val="24"/>
        </w:rPr>
        <w:t>202</w:t>
      </w:r>
      <w:r w:rsidRPr="008164D9">
        <w:rPr>
          <w:noProof/>
          <w:color w:val="000000" w:themeColor="text1"/>
          <w:szCs w:val="24"/>
        </w:rPr>
        <w:t>2</w:t>
      </w:r>
      <w:r w:rsidRPr="006C44B8">
        <w:rPr>
          <w:noProof/>
          <w:color w:val="000000" w:themeColor="text1"/>
          <w:szCs w:val="24"/>
        </w:rPr>
        <w:t xml:space="preserve"> (45%)</w:t>
      </w:r>
      <w:r w:rsidRPr="295B705F">
        <w:rPr>
          <w:noProof/>
          <w:lang w:eastAsia="fr-FR"/>
        </w:rPr>
        <w:t xml:space="preserve">. </w:t>
      </w:r>
    </w:p>
    <w:p w14:paraId="0DF589E0" w14:textId="44B745CE" w:rsidR="0040534C" w:rsidRPr="00396960" w:rsidRDefault="0040534C" w:rsidP="0040534C">
      <w:pPr>
        <w:rPr>
          <w:noProof/>
          <w:lang w:eastAsia="fr-FR"/>
        </w:rPr>
      </w:pPr>
      <w:r w:rsidRPr="00396960">
        <w:rPr>
          <w:b/>
          <w:bCs/>
          <w:noProof/>
          <w:lang w:eastAsia="fr-FR"/>
        </w:rPr>
        <w:t>There has been limited</w:t>
      </w:r>
      <w:r>
        <w:rPr>
          <w:b/>
          <w:bCs/>
          <w:noProof/>
          <w:lang w:eastAsia="fr-FR"/>
        </w:rPr>
        <w:t xml:space="preserve"> further</w:t>
      </w:r>
      <w:r w:rsidRPr="00396960">
        <w:rPr>
          <w:b/>
          <w:bCs/>
          <w:noProof/>
          <w:lang w:eastAsia="fr-FR"/>
        </w:rPr>
        <w:t xml:space="preserve"> progress on the </w:t>
      </w:r>
      <w:r w:rsidRPr="00396960" w:rsidDel="005D5003">
        <w:rPr>
          <w:b/>
          <w:bCs/>
          <w:noProof/>
          <w:lang w:eastAsia="fr-FR"/>
        </w:rPr>
        <w:t xml:space="preserve">recommendation </w:t>
      </w:r>
      <w:r>
        <w:rPr>
          <w:b/>
          <w:bCs/>
          <w:noProof/>
          <w:lang w:eastAsia="fr-FR"/>
        </w:rPr>
        <w:t>regarding</w:t>
      </w:r>
      <w:r w:rsidRPr="00396960" w:rsidDel="0057310E">
        <w:rPr>
          <w:b/>
          <w:bCs/>
          <w:noProof/>
          <w:lang w:eastAsia="fr-FR"/>
        </w:rPr>
        <w:t xml:space="preserve"> the </w:t>
      </w:r>
      <w:r w:rsidRPr="00396960">
        <w:rPr>
          <w:b/>
          <w:bCs/>
          <w:noProof/>
          <w:lang w:eastAsia="fr-FR"/>
        </w:rPr>
        <w:t>reform of the Law Office and the establishment of the Office of the Public Prosecutor General</w:t>
      </w:r>
      <w:r w:rsidRPr="00396960">
        <w:rPr>
          <w:rStyle w:val="FootnoteReference"/>
          <w:noProof/>
          <w:lang w:eastAsia="fr-FR"/>
        </w:rPr>
        <w:footnoteReference w:id="3"/>
      </w:r>
      <w:r w:rsidRPr="00396960">
        <w:rPr>
          <w:b/>
          <w:bCs/>
          <w:noProof/>
          <w:lang w:eastAsia="fr-FR"/>
        </w:rPr>
        <w:t xml:space="preserve">. </w:t>
      </w:r>
      <w:r w:rsidRPr="00396960">
        <w:rPr>
          <w:noProof/>
          <w:lang w:eastAsia="fr-FR"/>
        </w:rPr>
        <w:t xml:space="preserve">The draft </w:t>
      </w:r>
      <w:r>
        <w:rPr>
          <w:noProof/>
          <w:lang w:eastAsia="fr-FR"/>
        </w:rPr>
        <w:t>laws</w:t>
      </w:r>
      <w:r w:rsidRPr="00396960">
        <w:rPr>
          <w:noProof/>
          <w:lang w:eastAsia="fr-FR"/>
        </w:rPr>
        <w:t xml:space="preserve"> providing for the separation of the dual role of the Attorney General and the establishment of the Office of the General Public Prosecutor are pending before Parliament since July 2025. A first discussion took place in September 2025 before the Legal Affairs Committee, where the Attorney General </w:t>
      </w:r>
      <w:r>
        <w:rPr>
          <w:noProof/>
          <w:lang w:eastAsia="fr-FR"/>
        </w:rPr>
        <w:t xml:space="preserve">raised reservations of constitutional nature as regards </w:t>
      </w:r>
      <w:r w:rsidRPr="00396960">
        <w:rPr>
          <w:noProof/>
          <w:lang w:eastAsia="fr-FR"/>
        </w:rPr>
        <w:t xml:space="preserve">the </w:t>
      </w:r>
      <w:r>
        <w:rPr>
          <w:noProof/>
          <w:lang w:eastAsia="fr-FR"/>
        </w:rPr>
        <w:t xml:space="preserve">envisaged </w:t>
      </w:r>
      <w:r w:rsidRPr="00396960">
        <w:rPr>
          <w:noProof/>
          <w:lang w:eastAsia="fr-FR"/>
        </w:rPr>
        <w:t>reform</w:t>
      </w:r>
      <w:r w:rsidRPr="00396960">
        <w:rPr>
          <w:rStyle w:val="FootnoteReference"/>
          <w:noProof/>
          <w:lang w:eastAsia="fr-FR"/>
        </w:rPr>
        <w:footnoteReference w:id="4"/>
      </w:r>
      <w:r w:rsidRPr="00396960">
        <w:rPr>
          <w:noProof/>
          <w:lang w:eastAsia="fr-FR"/>
        </w:rPr>
        <w:t>. Members of Parliament</w:t>
      </w:r>
      <w:r>
        <w:rPr>
          <w:noProof/>
          <w:lang w:eastAsia="fr-FR"/>
        </w:rPr>
        <w:t xml:space="preserve"> also</w:t>
      </w:r>
      <w:r w:rsidRPr="00396960">
        <w:rPr>
          <w:noProof/>
          <w:lang w:eastAsia="fr-FR"/>
        </w:rPr>
        <w:t xml:space="preserve"> appeared divided. The only element </w:t>
      </w:r>
      <w:r>
        <w:rPr>
          <w:noProof/>
          <w:lang w:eastAsia="fr-FR"/>
        </w:rPr>
        <w:t>of</w:t>
      </w:r>
      <w:r w:rsidRPr="00396960">
        <w:rPr>
          <w:noProof/>
          <w:lang w:eastAsia="fr-FR"/>
        </w:rPr>
        <w:t xml:space="preserve"> the reform that </w:t>
      </w:r>
      <w:r>
        <w:rPr>
          <w:noProof/>
          <w:lang w:eastAsia="fr-FR"/>
        </w:rPr>
        <w:t xml:space="preserve">so far </w:t>
      </w:r>
      <w:r w:rsidRPr="00396960">
        <w:rPr>
          <w:noProof/>
          <w:lang w:eastAsia="fr-FR"/>
        </w:rPr>
        <w:t xml:space="preserve">received general </w:t>
      </w:r>
      <w:r>
        <w:rPr>
          <w:noProof/>
          <w:lang w:eastAsia="fr-FR"/>
        </w:rPr>
        <w:t>support</w:t>
      </w:r>
      <w:r w:rsidRPr="00396960">
        <w:rPr>
          <w:noProof/>
          <w:lang w:eastAsia="fr-FR"/>
        </w:rPr>
        <w:t xml:space="preserve"> and has a clear timeline for implementation is the proposal for a fixed eight-year mandate for the Attorney General and his</w:t>
      </w:r>
      <w:r>
        <w:rPr>
          <w:noProof/>
          <w:lang w:eastAsia="fr-FR"/>
        </w:rPr>
        <w:t>/her</w:t>
      </w:r>
      <w:r w:rsidRPr="00396960">
        <w:rPr>
          <w:noProof/>
          <w:lang w:eastAsia="fr-FR"/>
        </w:rPr>
        <w:t xml:space="preserve"> Deputy</w:t>
      </w:r>
      <w:r w:rsidRPr="00396960">
        <w:rPr>
          <w:rStyle w:val="FootnoteReference"/>
          <w:noProof/>
          <w:lang w:eastAsia="fr-FR"/>
        </w:rPr>
        <w:footnoteReference w:id="5"/>
      </w:r>
      <w:r w:rsidRPr="00396960">
        <w:rPr>
          <w:noProof/>
          <w:lang w:eastAsia="fr-FR"/>
        </w:rPr>
        <w:t xml:space="preserve">. Parliament went into recess in late </w:t>
      </w:r>
      <w:r>
        <w:rPr>
          <w:noProof/>
          <w:lang w:eastAsia="fr-FR"/>
        </w:rPr>
        <w:t>April</w:t>
      </w:r>
      <w:r w:rsidRPr="00396960">
        <w:rPr>
          <w:noProof/>
          <w:lang w:eastAsia="fr-FR"/>
        </w:rPr>
        <w:t xml:space="preserve"> 2026 </w:t>
      </w:r>
      <w:r>
        <w:rPr>
          <w:noProof/>
          <w:lang w:eastAsia="fr-FR"/>
        </w:rPr>
        <w:t>in view of</w:t>
      </w:r>
      <w:r w:rsidRPr="00396960">
        <w:rPr>
          <w:noProof/>
          <w:lang w:eastAsia="fr-FR"/>
        </w:rPr>
        <w:t xml:space="preserve"> the </w:t>
      </w:r>
      <w:r w:rsidR="00FB0E68">
        <w:rPr>
          <w:noProof/>
          <w:lang w:eastAsia="fr-FR"/>
        </w:rPr>
        <w:t>parliamentary</w:t>
      </w:r>
      <w:r w:rsidR="00FB0E68" w:rsidRPr="00396960">
        <w:rPr>
          <w:noProof/>
          <w:lang w:eastAsia="fr-FR"/>
        </w:rPr>
        <w:t xml:space="preserve"> </w:t>
      </w:r>
      <w:r w:rsidRPr="00396960">
        <w:rPr>
          <w:noProof/>
          <w:lang w:eastAsia="fr-FR"/>
        </w:rPr>
        <w:t>election</w:t>
      </w:r>
      <w:r w:rsidR="00FB0E68">
        <w:rPr>
          <w:noProof/>
          <w:lang w:eastAsia="fr-FR"/>
        </w:rPr>
        <w:t>s</w:t>
      </w:r>
      <w:r w:rsidRPr="00396960">
        <w:rPr>
          <w:noProof/>
          <w:lang w:eastAsia="fr-FR"/>
        </w:rPr>
        <w:t xml:space="preserve"> </w:t>
      </w:r>
      <w:r>
        <w:rPr>
          <w:noProof/>
          <w:lang w:eastAsia="fr-FR"/>
        </w:rPr>
        <w:t xml:space="preserve">of May 2026 </w:t>
      </w:r>
      <w:r w:rsidRPr="00396960">
        <w:rPr>
          <w:noProof/>
          <w:lang w:eastAsia="fr-FR"/>
        </w:rPr>
        <w:t xml:space="preserve">and the debate on the bills </w:t>
      </w:r>
      <w:r w:rsidR="00AE5C42">
        <w:rPr>
          <w:noProof/>
          <w:lang w:eastAsia="fr-FR"/>
        </w:rPr>
        <w:t xml:space="preserve">was </w:t>
      </w:r>
      <w:r w:rsidRPr="00CF78FC">
        <w:rPr>
          <w:noProof/>
          <w:lang w:eastAsia="fr-FR"/>
        </w:rPr>
        <w:t>suspended.</w:t>
      </w:r>
      <w:r w:rsidRPr="00396960">
        <w:rPr>
          <w:noProof/>
          <w:lang w:eastAsia="fr-FR"/>
        </w:rPr>
        <w:t xml:space="preserve"> There has thus been limited </w:t>
      </w:r>
      <w:r>
        <w:rPr>
          <w:noProof/>
          <w:lang w:eastAsia="fr-FR"/>
        </w:rPr>
        <w:t>further</w:t>
      </w:r>
      <w:r w:rsidRPr="00396960">
        <w:rPr>
          <w:noProof/>
          <w:lang w:eastAsia="fr-FR"/>
        </w:rPr>
        <w:t xml:space="preserve"> progress on the implementation of this specific element of the recommendation made in previous years. </w:t>
      </w:r>
    </w:p>
    <w:p w14:paraId="1FB716E4" w14:textId="55798450" w:rsidR="0040534C" w:rsidRPr="00396960" w:rsidRDefault="0040534C" w:rsidP="0040534C">
      <w:pPr>
        <w:rPr>
          <w:b/>
          <w:bCs/>
          <w:noProof/>
          <w:lang w:eastAsia="fr-FR"/>
        </w:rPr>
      </w:pPr>
      <w:r>
        <w:rPr>
          <w:b/>
          <w:bCs/>
          <w:noProof/>
          <w:lang w:eastAsia="fr-FR"/>
        </w:rPr>
        <w:t xml:space="preserve">Initial discussions were held on the draft reform introducing </w:t>
      </w:r>
      <w:r w:rsidRPr="00396960">
        <w:rPr>
          <w:b/>
          <w:bCs/>
          <w:noProof/>
          <w:lang w:eastAsia="fr-FR"/>
        </w:rPr>
        <w:t>a review of decisions not to prosecute or to discontinue proceedings</w:t>
      </w:r>
      <w:r w:rsidRPr="00396960">
        <w:rPr>
          <w:rStyle w:val="FootnoteReference"/>
          <w:noProof/>
          <w:lang w:eastAsia="fr-FR"/>
        </w:rPr>
        <w:footnoteReference w:id="6"/>
      </w:r>
      <w:r w:rsidRPr="00396960">
        <w:rPr>
          <w:b/>
          <w:bCs/>
          <w:noProof/>
          <w:lang w:eastAsia="fr-FR"/>
        </w:rPr>
        <w:t>.</w:t>
      </w:r>
      <w:r w:rsidRPr="00396960">
        <w:rPr>
          <w:noProof/>
          <w:lang w:eastAsia="fr-FR"/>
        </w:rPr>
        <w:t xml:space="preserve"> In December 2025, the Council of Ministers approved a bill to introduce </w:t>
      </w:r>
      <w:r>
        <w:rPr>
          <w:noProof/>
          <w:lang w:eastAsia="fr-FR"/>
        </w:rPr>
        <w:t xml:space="preserve">internal and </w:t>
      </w:r>
      <w:r w:rsidRPr="00396960">
        <w:rPr>
          <w:noProof/>
          <w:lang w:eastAsia="fr-FR"/>
        </w:rPr>
        <w:t>judicial oversight of key prosecutorial decisions by the General Public Prosecutor</w:t>
      </w:r>
      <w:r w:rsidRPr="00396960">
        <w:rPr>
          <w:rStyle w:val="FootnoteReference"/>
          <w:noProof/>
          <w:lang w:eastAsia="fr-FR"/>
        </w:rPr>
        <w:footnoteReference w:id="7"/>
      </w:r>
      <w:r w:rsidRPr="00396960">
        <w:rPr>
          <w:noProof/>
          <w:lang w:eastAsia="fr-FR"/>
        </w:rPr>
        <w:t xml:space="preserve">. Under the proposal, decisions not to prosecute would first undergo internal review within the Prosecutor’s Office; if dissatisfied, the injured party could then apply for judicial review by the Supreme Court. Decisions to discontinue proceedings pending before an Assize Court would be directly reviewable by the Supreme Court. </w:t>
      </w:r>
      <w:r>
        <w:rPr>
          <w:noProof/>
          <w:lang w:eastAsia="fr-FR"/>
        </w:rPr>
        <w:t>T</w:t>
      </w:r>
      <w:r w:rsidRPr="007D3837">
        <w:rPr>
          <w:noProof/>
          <w:lang w:eastAsia="fr-FR"/>
        </w:rPr>
        <w:t>he definition of</w:t>
      </w:r>
      <w:r>
        <w:rPr>
          <w:noProof/>
          <w:lang w:eastAsia="fr-FR"/>
        </w:rPr>
        <w:t xml:space="preserve"> an</w:t>
      </w:r>
      <w:r w:rsidRPr="007D3837">
        <w:rPr>
          <w:noProof/>
          <w:lang w:eastAsia="fr-FR"/>
        </w:rPr>
        <w:t xml:space="preserve"> injured party is broad – covering both natural and legal persons that suffered harm from the non-prosecuted offense – </w:t>
      </w:r>
      <w:r>
        <w:rPr>
          <w:noProof/>
          <w:lang w:eastAsia="fr-FR"/>
        </w:rPr>
        <w:t>w</w:t>
      </w:r>
      <w:r w:rsidRPr="007D3837">
        <w:rPr>
          <w:noProof/>
          <w:lang w:eastAsia="fr-FR"/>
        </w:rPr>
        <w:t xml:space="preserve">hile </w:t>
      </w:r>
      <w:r>
        <w:rPr>
          <w:noProof/>
          <w:lang w:eastAsia="fr-FR"/>
        </w:rPr>
        <w:t>the draft does not specify</w:t>
      </w:r>
      <w:r w:rsidRPr="007D3837">
        <w:rPr>
          <w:noProof/>
          <w:lang w:eastAsia="fr-FR"/>
        </w:rPr>
        <w:t xml:space="preserve"> whether specific institutions, such as the Independent Authority against Corruption or the Audit Office, could </w:t>
      </w:r>
      <w:r>
        <w:rPr>
          <w:noProof/>
          <w:lang w:eastAsia="fr-FR"/>
        </w:rPr>
        <w:t xml:space="preserve">also </w:t>
      </w:r>
      <w:r w:rsidRPr="007D3837">
        <w:rPr>
          <w:noProof/>
          <w:lang w:eastAsia="fr-FR"/>
        </w:rPr>
        <w:t>qualify as injured parties</w:t>
      </w:r>
      <w:r w:rsidR="00152EB9">
        <w:rPr>
          <w:rStyle w:val="FootnoteReference"/>
          <w:noProof/>
          <w:lang w:eastAsia="fr-FR"/>
        </w:rPr>
        <w:footnoteReference w:id="8"/>
      </w:r>
      <w:r w:rsidRPr="007D3837">
        <w:rPr>
          <w:noProof/>
          <w:lang w:eastAsia="fr-FR"/>
        </w:rPr>
        <w:t>, when reporting potential cases of corruption.</w:t>
      </w:r>
      <w:r>
        <w:rPr>
          <w:noProof/>
          <w:lang w:eastAsia="fr-FR"/>
        </w:rPr>
        <w:t xml:space="preserve"> </w:t>
      </w:r>
      <w:r w:rsidRPr="00396960">
        <w:rPr>
          <w:noProof/>
          <w:lang w:eastAsia="fr-FR"/>
        </w:rPr>
        <w:t>In January 2026, Parliament’s Legal Affairs Committee held an initial discussion on the bill, alongside with an alternative proposal tabled by an individual M</w:t>
      </w:r>
      <w:r>
        <w:rPr>
          <w:noProof/>
          <w:lang w:eastAsia="fr-FR"/>
        </w:rPr>
        <w:t xml:space="preserve">ember of </w:t>
      </w:r>
      <w:r w:rsidRPr="00396960">
        <w:rPr>
          <w:noProof/>
          <w:lang w:eastAsia="fr-FR"/>
        </w:rPr>
        <w:t>P</w:t>
      </w:r>
      <w:r>
        <w:rPr>
          <w:noProof/>
          <w:lang w:eastAsia="fr-FR"/>
        </w:rPr>
        <w:t>arliament</w:t>
      </w:r>
      <w:r w:rsidRPr="00396960">
        <w:rPr>
          <w:rStyle w:val="FootnoteReference"/>
          <w:noProof/>
          <w:lang w:eastAsia="fr-FR"/>
        </w:rPr>
        <w:footnoteReference w:id="9"/>
      </w:r>
      <w:r w:rsidRPr="00396960">
        <w:rPr>
          <w:noProof/>
          <w:lang w:eastAsia="fr-FR"/>
        </w:rPr>
        <w:t xml:space="preserve">. The Attorney General reiterated his reservations, while the Supreme Court cited concerns over increased caseloads. Discussions </w:t>
      </w:r>
      <w:r>
        <w:rPr>
          <w:noProof/>
          <w:lang w:eastAsia="fr-FR"/>
        </w:rPr>
        <w:t>remain on hold</w:t>
      </w:r>
      <w:r w:rsidRPr="00396960">
        <w:rPr>
          <w:noProof/>
          <w:lang w:eastAsia="fr-FR"/>
        </w:rPr>
        <w:t xml:space="preserve">, </w:t>
      </w:r>
      <w:r w:rsidRPr="00CF78FC">
        <w:rPr>
          <w:noProof/>
          <w:lang w:eastAsia="fr-FR"/>
        </w:rPr>
        <w:t xml:space="preserve">also due to the </w:t>
      </w:r>
      <w:r w:rsidR="00152EB9">
        <w:rPr>
          <w:noProof/>
          <w:lang w:eastAsia="fr-FR"/>
        </w:rPr>
        <w:t>parliamentary</w:t>
      </w:r>
      <w:r w:rsidR="00152EB9" w:rsidRPr="00CF78FC">
        <w:rPr>
          <w:noProof/>
          <w:lang w:eastAsia="fr-FR"/>
        </w:rPr>
        <w:t xml:space="preserve"> </w:t>
      </w:r>
      <w:r w:rsidRPr="00CF78FC">
        <w:rPr>
          <w:noProof/>
          <w:lang w:eastAsia="fr-FR"/>
        </w:rPr>
        <w:t>elections</w:t>
      </w:r>
      <w:r w:rsidRPr="00396960">
        <w:rPr>
          <w:noProof/>
          <w:lang w:eastAsia="fr-FR"/>
        </w:rPr>
        <w:t xml:space="preserve">. There has been limited progress on the implementation of this specific element of the recommendation made in previous years.  </w:t>
      </w:r>
    </w:p>
    <w:p w14:paraId="4DF5EB5D" w14:textId="18216CBD" w:rsidR="0040534C" w:rsidRPr="00BD4529" w:rsidRDefault="0040534C" w:rsidP="0040534C">
      <w:pPr>
        <w:rPr>
          <w:bCs/>
          <w:noProof/>
          <w:lang w:val="en-IE" w:eastAsia="fr-FR"/>
        </w:rPr>
      </w:pPr>
      <w:r w:rsidRPr="00396960">
        <w:rPr>
          <w:b/>
          <w:noProof/>
          <w:lang w:eastAsia="fr-FR"/>
        </w:rPr>
        <w:t xml:space="preserve">A distinct branch of administrative justice was established. </w:t>
      </w:r>
      <w:r w:rsidRPr="00396960">
        <w:rPr>
          <w:bCs/>
          <w:noProof/>
          <w:lang w:eastAsia="fr-FR"/>
        </w:rPr>
        <w:t xml:space="preserve">Since July 2025, the administrative branch consists of the </w:t>
      </w:r>
      <w:r>
        <w:rPr>
          <w:bCs/>
          <w:noProof/>
          <w:lang w:eastAsia="fr-FR"/>
        </w:rPr>
        <w:t>A</w:t>
      </w:r>
      <w:r w:rsidRPr="00396960">
        <w:rPr>
          <w:bCs/>
          <w:noProof/>
          <w:lang w:eastAsia="fr-FR"/>
        </w:rPr>
        <w:t xml:space="preserve">dministrative </w:t>
      </w:r>
      <w:r>
        <w:rPr>
          <w:bCs/>
          <w:noProof/>
          <w:lang w:eastAsia="fr-FR"/>
        </w:rPr>
        <w:t>C</w:t>
      </w:r>
      <w:r w:rsidRPr="00396960">
        <w:rPr>
          <w:bCs/>
          <w:noProof/>
          <w:lang w:eastAsia="fr-FR"/>
        </w:rPr>
        <w:t xml:space="preserve">ourt, the </w:t>
      </w:r>
      <w:r>
        <w:rPr>
          <w:noProof/>
        </w:rPr>
        <w:t>A</w:t>
      </w:r>
      <w:r w:rsidRPr="00396960">
        <w:rPr>
          <w:noProof/>
        </w:rPr>
        <w:t xml:space="preserve">dministrative </w:t>
      </w:r>
      <w:r>
        <w:rPr>
          <w:noProof/>
        </w:rPr>
        <w:t>C</w:t>
      </w:r>
      <w:r w:rsidRPr="00396960">
        <w:rPr>
          <w:noProof/>
        </w:rPr>
        <w:t>ourt</w:t>
      </w:r>
      <w:r w:rsidRPr="00396960">
        <w:rPr>
          <w:bCs/>
          <w:noProof/>
          <w:lang w:eastAsia="fr-FR"/>
        </w:rPr>
        <w:t xml:space="preserve"> of </w:t>
      </w:r>
      <w:r>
        <w:rPr>
          <w:noProof/>
        </w:rPr>
        <w:t>I</w:t>
      </w:r>
      <w:r w:rsidRPr="00396960">
        <w:rPr>
          <w:noProof/>
        </w:rPr>
        <w:t xml:space="preserve">nternational </w:t>
      </w:r>
      <w:r>
        <w:rPr>
          <w:noProof/>
        </w:rPr>
        <w:t>P</w:t>
      </w:r>
      <w:r w:rsidRPr="00396960">
        <w:rPr>
          <w:noProof/>
        </w:rPr>
        <w:t xml:space="preserve">rotection, </w:t>
      </w:r>
      <w:r w:rsidRPr="00396960">
        <w:rPr>
          <w:bCs/>
          <w:noProof/>
          <w:lang w:eastAsia="fr-FR"/>
        </w:rPr>
        <w:t xml:space="preserve">the newly established </w:t>
      </w:r>
      <w:r>
        <w:rPr>
          <w:bCs/>
          <w:noProof/>
          <w:lang w:eastAsia="fr-FR"/>
        </w:rPr>
        <w:t>A</w:t>
      </w:r>
      <w:r w:rsidRPr="00396960">
        <w:rPr>
          <w:bCs/>
          <w:noProof/>
          <w:lang w:eastAsia="fr-FR"/>
        </w:rPr>
        <w:t xml:space="preserve">dministrative </w:t>
      </w:r>
      <w:r>
        <w:rPr>
          <w:bCs/>
          <w:noProof/>
          <w:lang w:eastAsia="fr-FR"/>
        </w:rPr>
        <w:t>C</w:t>
      </w:r>
      <w:r w:rsidRPr="00396960">
        <w:rPr>
          <w:bCs/>
          <w:noProof/>
          <w:lang w:eastAsia="fr-FR"/>
        </w:rPr>
        <w:t xml:space="preserve">ourt of </w:t>
      </w:r>
      <w:r>
        <w:rPr>
          <w:bCs/>
          <w:noProof/>
          <w:lang w:eastAsia="fr-FR"/>
        </w:rPr>
        <w:t>A</w:t>
      </w:r>
      <w:r w:rsidRPr="00396960">
        <w:rPr>
          <w:bCs/>
          <w:noProof/>
          <w:lang w:eastAsia="fr-FR"/>
        </w:rPr>
        <w:t>ppeal</w:t>
      </w:r>
      <w:r w:rsidRPr="00396960">
        <w:rPr>
          <w:rStyle w:val="FootnoteReference"/>
          <w:bCs/>
          <w:noProof/>
          <w:lang w:eastAsia="fr-FR"/>
        </w:rPr>
        <w:footnoteReference w:id="10"/>
      </w:r>
      <w:r w:rsidRPr="00396960">
        <w:rPr>
          <w:bCs/>
          <w:noProof/>
          <w:lang w:eastAsia="fr-FR"/>
        </w:rPr>
        <w:t xml:space="preserve">, and the Supreme Constitutional Court. </w:t>
      </w:r>
      <w:r w:rsidRPr="005475D7">
        <w:rPr>
          <w:bCs/>
          <w:noProof/>
          <w:lang w:eastAsia="fr-FR"/>
        </w:rPr>
        <w:t>A second judicial council</w:t>
      </w:r>
      <w:r>
        <w:rPr>
          <w:bCs/>
          <w:noProof/>
          <w:lang w:eastAsia="fr-FR"/>
        </w:rPr>
        <w:t>,</w:t>
      </w:r>
      <w:r w:rsidRPr="005475D7">
        <w:rPr>
          <w:bCs/>
          <w:noProof/>
          <w:lang w:eastAsia="fr-FR"/>
        </w:rPr>
        <w:t xml:space="preserve"> the Supreme Constitutional </w:t>
      </w:r>
      <w:r w:rsidR="00322A07">
        <w:rPr>
          <w:bCs/>
          <w:noProof/>
          <w:lang w:eastAsia="fr-FR"/>
        </w:rPr>
        <w:t>Judicial</w:t>
      </w:r>
      <w:r w:rsidRPr="005475D7">
        <w:rPr>
          <w:bCs/>
          <w:noProof/>
          <w:lang w:eastAsia="fr-FR"/>
        </w:rPr>
        <w:t xml:space="preserve"> Council</w:t>
      </w:r>
      <w:r>
        <w:rPr>
          <w:bCs/>
          <w:noProof/>
          <w:lang w:eastAsia="fr-FR"/>
        </w:rPr>
        <w:t>,</w:t>
      </w:r>
      <w:r w:rsidRPr="005475D7">
        <w:rPr>
          <w:bCs/>
          <w:noProof/>
          <w:lang w:eastAsia="fr-FR"/>
        </w:rPr>
        <w:t xml:space="preserve"> is established to decide on careers and disciplinary issues for administrative judges</w:t>
      </w:r>
      <w:r w:rsidRPr="005475D7">
        <w:rPr>
          <w:rStyle w:val="FootnoteReference"/>
          <w:bCs/>
          <w:noProof/>
          <w:lang w:eastAsia="fr-FR"/>
        </w:rPr>
        <w:footnoteReference w:id="11"/>
      </w:r>
      <w:r w:rsidRPr="005475D7">
        <w:rPr>
          <w:bCs/>
          <w:noProof/>
          <w:lang w:eastAsia="fr-FR"/>
        </w:rPr>
        <w:t xml:space="preserve">. </w:t>
      </w:r>
      <w:r w:rsidR="00AB06DA" w:rsidRPr="005475D7">
        <w:rPr>
          <w:bCs/>
          <w:noProof/>
          <w:lang w:val="en-IE" w:eastAsia="fr-FR"/>
        </w:rPr>
        <w:t>Its</w:t>
      </w:r>
      <w:r w:rsidR="00AB06DA" w:rsidRPr="005475D7">
        <w:rPr>
          <w:bCs/>
          <w:noProof/>
          <w:lang w:eastAsia="fr-FR"/>
        </w:rPr>
        <w:t xml:space="preserve"> decisions are subject to judicial review by the Supreme </w:t>
      </w:r>
      <w:r w:rsidR="00AB06DA">
        <w:rPr>
          <w:bCs/>
          <w:noProof/>
          <w:lang w:eastAsia="fr-FR"/>
        </w:rPr>
        <w:t xml:space="preserve">Judicial </w:t>
      </w:r>
      <w:r w:rsidR="00AB06DA" w:rsidRPr="005475D7">
        <w:rPr>
          <w:bCs/>
          <w:noProof/>
          <w:lang w:eastAsia="fr-FR"/>
        </w:rPr>
        <w:t>Cou</w:t>
      </w:r>
      <w:r w:rsidR="00AB06DA">
        <w:rPr>
          <w:bCs/>
          <w:noProof/>
          <w:lang w:eastAsia="fr-FR"/>
        </w:rPr>
        <w:t>ncil</w:t>
      </w:r>
      <w:r w:rsidR="00AB06DA">
        <w:rPr>
          <w:rStyle w:val="FootnoteReference"/>
          <w:bCs/>
          <w:noProof/>
          <w:lang w:eastAsia="fr-FR"/>
        </w:rPr>
        <w:footnoteReference w:id="12"/>
      </w:r>
      <w:r w:rsidR="00AB06DA">
        <w:rPr>
          <w:bCs/>
          <w:noProof/>
          <w:lang w:eastAsia="fr-FR"/>
        </w:rPr>
        <w:t>.</w:t>
      </w:r>
      <w:r w:rsidR="00AB06DA" w:rsidRPr="005475D7">
        <w:rPr>
          <w:bCs/>
          <w:noProof/>
          <w:lang w:eastAsia="fr-FR"/>
        </w:rPr>
        <w:t xml:space="preserve"> </w:t>
      </w:r>
      <w:r w:rsidRPr="005475D7">
        <w:rPr>
          <w:bCs/>
          <w:noProof/>
          <w:lang w:eastAsia="fr-FR"/>
        </w:rPr>
        <w:t xml:space="preserve">The composition of the </w:t>
      </w:r>
      <w:r w:rsidRPr="005475D7">
        <w:rPr>
          <w:bCs/>
          <w:noProof/>
          <w:lang w:val="en-US" w:eastAsia="fr-FR"/>
        </w:rPr>
        <w:t xml:space="preserve">Supreme Constitutional </w:t>
      </w:r>
      <w:r w:rsidR="007C5F7C">
        <w:rPr>
          <w:bCs/>
          <w:noProof/>
          <w:lang w:val="en-US" w:eastAsia="fr-FR"/>
        </w:rPr>
        <w:t xml:space="preserve">Judicial </w:t>
      </w:r>
      <w:r w:rsidRPr="005475D7">
        <w:rPr>
          <w:bCs/>
          <w:noProof/>
          <w:lang w:val="en-US" w:eastAsia="fr-FR"/>
        </w:rPr>
        <w:t xml:space="preserve">Council </w:t>
      </w:r>
      <w:r w:rsidRPr="005475D7">
        <w:rPr>
          <w:bCs/>
          <w:noProof/>
          <w:lang w:eastAsia="fr-FR"/>
        </w:rPr>
        <w:t xml:space="preserve">mirrors the existing composition of the Supreme </w:t>
      </w:r>
      <w:r w:rsidR="007C5F7C">
        <w:rPr>
          <w:bCs/>
          <w:noProof/>
          <w:lang w:eastAsia="fr-FR"/>
        </w:rPr>
        <w:t xml:space="preserve">Judicial </w:t>
      </w:r>
      <w:r w:rsidRPr="005475D7">
        <w:rPr>
          <w:bCs/>
          <w:noProof/>
          <w:lang w:eastAsia="fr-FR"/>
        </w:rPr>
        <w:t>Council</w:t>
      </w:r>
      <w:r w:rsidRPr="005475D7">
        <w:rPr>
          <w:rStyle w:val="FootnoteReference"/>
          <w:bCs/>
          <w:noProof/>
          <w:lang w:eastAsia="fr-FR"/>
        </w:rPr>
        <w:footnoteReference w:id="13"/>
      </w:r>
      <w:r w:rsidRPr="005475D7">
        <w:rPr>
          <w:bCs/>
          <w:noProof/>
          <w:lang w:eastAsia="fr-FR"/>
        </w:rPr>
        <w:t>. It</w:t>
      </w:r>
      <w:r w:rsidRPr="005475D7">
        <w:rPr>
          <w:bCs/>
          <w:noProof/>
          <w:lang w:val="en-US" w:eastAsia="fr-FR"/>
        </w:rPr>
        <w:t xml:space="preserve"> </w:t>
      </w:r>
      <w:r w:rsidRPr="005475D7">
        <w:rPr>
          <w:bCs/>
          <w:noProof/>
          <w:lang w:eastAsia="fr-FR"/>
        </w:rPr>
        <w:t xml:space="preserve">is composed of </w:t>
      </w:r>
      <w:r w:rsidR="00771415" w:rsidRPr="00771415">
        <w:rPr>
          <w:noProof/>
          <w:lang w:eastAsia="fr-FR"/>
        </w:rPr>
        <w:t>the President and the eight judges of the Supreme Constitutional Court</w:t>
      </w:r>
      <w:r w:rsidR="00771415" w:rsidRPr="00771415">
        <w:rPr>
          <w:b/>
          <w:bCs/>
          <w:noProof/>
          <w:lang w:eastAsia="fr-FR"/>
        </w:rPr>
        <w:t xml:space="preserve"> </w:t>
      </w:r>
      <w:r w:rsidRPr="005475D7">
        <w:rPr>
          <w:bCs/>
          <w:noProof/>
          <w:lang w:eastAsia="fr-FR"/>
        </w:rPr>
        <w:t>and four non-judicial members</w:t>
      </w:r>
      <w:r w:rsidRPr="005475D7">
        <w:rPr>
          <w:rStyle w:val="FootnoteReference"/>
          <w:bCs/>
          <w:noProof/>
          <w:lang w:eastAsia="fr-FR"/>
        </w:rPr>
        <w:footnoteReference w:id="14"/>
      </w:r>
      <w:r w:rsidRPr="005475D7">
        <w:rPr>
          <w:bCs/>
          <w:noProof/>
          <w:lang w:eastAsia="fr-FR"/>
        </w:rPr>
        <w:t xml:space="preserve">. </w:t>
      </w:r>
      <w:r w:rsidR="00D74480" w:rsidRPr="00D74480">
        <w:rPr>
          <w:noProof/>
          <w:lang w:eastAsia="fr-FR"/>
        </w:rPr>
        <w:t>Non-judicial members participate without voting rights in appointment and promotion procedures and do not participate in disciplinary or transfer proceedings.</w:t>
      </w:r>
      <w:r w:rsidR="00771415">
        <w:rPr>
          <w:noProof/>
          <w:lang w:eastAsia="fr-FR"/>
        </w:rPr>
        <w:t xml:space="preserve"> </w:t>
      </w:r>
      <w:r w:rsidRPr="005475D7">
        <w:rPr>
          <w:bCs/>
          <w:noProof/>
          <w:lang w:val="en-US" w:eastAsia="fr-FR"/>
        </w:rPr>
        <w:t xml:space="preserve">However, a recent ruling </w:t>
      </w:r>
      <w:r>
        <w:rPr>
          <w:bCs/>
          <w:noProof/>
          <w:lang w:val="en-US" w:eastAsia="fr-FR"/>
        </w:rPr>
        <w:t xml:space="preserve">of the Supreme Constitutional Council </w:t>
      </w:r>
      <w:r w:rsidRPr="005475D7">
        <w:rPr>
          <w:bCs/>
          <w:noProof/>
          <w:lang w:val="en-US" w:eastAsia="fr-FR"/>
        </w:rPr>
        <w:t xml:space="preserve">questioned the role of the non-judicial members in the judicial councils, </w:t>
      </w:r>
      <w:r w:rsidRPr="005475D7">
        <w:rPr>
          <w:bCs/>
          <w:noProof/>
          <w:lang w:val="en-IE" w:eastAsia="fr-FR"/>
        </w:rPr>
        <w:t xml:space="preserve">stating that they are invited to </w:t>
      </w:r>
      <w:r w:rsidRPr="005475D7">
        <w:rPr>
          <w:bCs/>
          <w:noProof/>
          <w:lang w:eastAsia="fr-FR"/>
        </w:rPr>
        <w:t>participate only at the discretion of judicial members</w:t>
      </w:r>
      <w:r w:rsidRPr="005475D7">
        <w:rPr>
          <w:rStyle w:val="FootnoteReference"/>
          <w:bCs/>
          <w:noProof/>
          <w:lang w:val="en-IE" w:eastAsia="fr-FR"/>
        </w:rPr>
        <w:footnoteReference w:id="15"/>
      </w:r>
      <w:r w:rsidRPr="005475D7">
        <w:rPr>
          <w:bCs/>
          <w:noProof/>
          <w:lang w:val="en-IE" w:eastAsia="fr-FR"/>
        </w:rPr>
        <w:t>.</w:t>
      </w:r>
      <w:r w:rsidRPr="00396960">
        <w:rPr>
          <w:bCs/>
          <w:noProof/>
          <w:lang w:eastAsia="fr-FR"/>
        </w:rPr>
        <w:t xml:space="preserve"> </w:t>
      </w:r>
    </w:p>
    <w:p w14:paraId="6E533403" w14:textId="481BFADE" w:rsidR="0040534C" w:rsidRPr="00396960" w:rsidRDefault="0040534C" w:rsidP="0040534C">
      <w:pPr>
        <w:rPr>
          <w:rStyle w:val="Strong"/>
          <w:rFonts w:eastAsiaTheme="majorEastAsia"/>
          <w:b w:val="0"/>
          <w:bCs w:val="0"/>
          <w:noProof/>
          <w:color w:val="000000" w:themeColor="text1"/>
        </w:rPr>
      </w:pPr>
      <w:r>
        <w:rPr>
          <w:rFonts w:eastAsiaTheme="majorEastAsia"/>
          <w:b/>
          <w:bCs/>
          <w:noProof/>
          <w:color w:val="000000" w:themeColor="text1"/>
          <w:lang w:val="en-US"/>
        </w:rPr>
        <w:t xml:space="preserve">Measures </w:t>
      </w:r>
      <w:r w:rsidRPr="00A716B8">
        <w:rPr>
          <w:rFonts w:eastAsiaTheme="majorEastAsia"/>
          <w:b/>
          <w:bCs/>
          <w:noProof/>
          <w:color w:val="000000" w:themeColor="text1"/>
          <w:lang w:val="en-US"/>
        </w:rPr>
        <w:t>to reinforce trust in the judiciary</w:t>
      </w:r>
      <w:r>
        <w:rPr>
          <w:rFonts w:eastAsiaTheme="majorEastAsia"/>
          <w:b/>
          <w:bCs/>
          <w:noProof/>
          <w:color w:val="000000" w:themeColor="text1"/>
          <w:lang w:val="en-US"/>
        </w:rPr>
        <w:t xml:space="preserve"> have been taken, including n</w:t>
      </w:r>
      <w:r w:rsidRPr="00A716B8">
        <w:rPr>
          <w:rFonts w:eastAsiaTheme="majorEastAsia"/>
          <w:b/>
          <w:bCs/>
          <w:noProof/>
          <w:color w:val="000000" w:themeColor="text1"/>
          <w:lang w:val="en-US"/>
        </w:rPr>
        <w:t>ew guidelines on recusal of judges.</w:t>
      </w:r>
      <w:r w:rsidRPr="00396960">
        <w:rPr>
          <w:rStyle w:val="Strong"/>
          <w:rFonts w:eastAsiaTheme="majorEastAsia"/>
          <w:noProof/>
          <w:color w:val="000000" w:themeColor="text1"/>
        </w:rPr>
        <w:t xml:space="preserve"> </w:t>
      </w:r>
      <w:r w:rsidRPr="00DA5560">
        <w:rPr>
          <w:rStyle w:val="Strong"/>
          <w:rFonts w:eastAsiaTheme="majorEastAsia"/>
          <w:b w:val="0"/>
          <w:bCs w:val="0"/>
          <w:noProof/>
          <w:color w:val="000000" w:themeColor="text1"/>
        </w:rPr>
        <w:t xml:space="preserve">According to the rules introduced </w:t>
      </w:r>
      <w:r w:rsidR="003F0B4A">
        <w:rPr>
          <w:rStyle w:val="Strong"/>
          <w:rFonts w:eastAsiaTheme="majorEastAsia"/>
          <w:b w:val="0"/>
          <w:bCs w:val="0"/>
          <w:noProof/>
          <w:color w:val="000000" w:themeColor="text1"/>
        </w:rPr>
        <w:t xml:space="preserve">by the Supreme Constitutional </w:t>
      </w:r>
      <w:r w:rsidR="005D020B">
        <w:rPr>
          <w:rStyle w:val="Strong"/>
          <w:rFonts w:eastAsiaTheme="majorEastAsia"/>
          <w:b w:val="0"/>
          <w:bCs w:val="0"/>
          <w:noProof/>
          <w:color w:val="000000" w:themeColor="text1"/>
        </w:rPr>
        <w:t xml:space="preserve">Court </w:t>
      </w:r>
      <w:r w:rsidRPr="00DA5560">
        <w:rPr>
          <w:rStyle w:val="Strong"/>
          <w:rFonts w:eastAsiaTheme="majorEastAsia"/>
          <w:b w:val="0"/>
          <w:bCs w:val="0"/>
          <w:noProof/>
          <w:color w:val="000000" w:themeColor="text1"/>
        </w:rPr>
        <w:t xml:space="preserve">in November 2025, </w:t>
      </w:r>
      <w:r w:rsidR="002D6100">
        <w:rPr>
          <w:rStyle w:val="Strong"/>
          <w:rFonts w:eastAsiaTheme="majorEastAsia"/>
          <w:b w:val="0"/>
          <w:bCs w:val="0"/>
          <w:noProof/>
          <w:color w:val="000000" w:themeColor="text1"/>
        </w:rPr>
        <w:t xml:space="preserve">and which build on the pre-existing </w:t>
      </w:r>
      <w:r w:rsidR="008F5C6B">
        <w:rPr>
          <w:rStyle w:val="Strong"/>
          <w:rFonts w:eastAsiaTheme="majorEastAsia"/>
          <w:b w:val="0"/>
          <w:bCs w:val="0"/>
          <w:noProof/>
          <w:color w:val="000000" w:themeColor="text1"/>
        </w:rPr>
        <w:t>framework</w:t>
      </w:r>
      <w:r w:rsidR="008F5C6B">
        <w:rPr>
          <w:rStyle w:val="FootnoteReference"/>
          <w:rFonts w:eastAsiaTheme="majorEastAsia"/>
          <w:noProof/>
          <w:color w:val="000000" w:themeColor="text1"/>
        </w:rPr>
        <w:footnoteReference w:id="16"/>
      </w:r>
      <w:r w:rsidR="008F5C6B">
        <w:rPr>
          <w:rStyle w:val="Strong"/>
          <w:rFonts w:eastAsiaTheme="majorEastAsia"/>
          <w:b w:val="0"/>
          <w:bCs w:val="0"/>
          <w:noProof/>
          <w:color w:val="000000" w:themeColor="text1"/>
        </w:rPr>
        <w:t xml:space="preserve">, </w:t>
      </w:r>
      <w:r w:rsidRPr="00DA5560">
        <w:rPr>
          <w:rStyle w:val="Strong"/>
          <w:rFonts w:eastAsiaTheme="majorEastAsia"/>
          <w:b w:val="0"/>
          <w:bCs w:val="0"/>
          <w:noProof/>
          <w:color w:val="000000" w:themeColor="text1"/>
        </w:rPr>
        <w:t>judges shall not sit in cases involving close family or professional connections with lawyers representing one of the parties. These rules seek to address both conflicts of interest and a possible perception of bias, bringing the framework further in line with European standards on judicial independence and impartiality</w:t>
      </w:r>
      <w:r w:rsidRPr="00DA5560">
        <w:rPr>
          <w:rStyle w:val="FootnoteReference"/>
          <w:rFonts w:eastAsiaTheme="majorEastAsia"/>
          <w:noProof/>
          <w:color w:val="000000" w:themeColor="text1"/>
        </w:rPr>
        <w:footnoteReference w:id="17"/>
      </w:r>
      <w:r w:rsidRPr="00DA5560">
        <w:rPr>
          <w:rStyle w:val="Strong"/>
          <w:rFonts w:eastAsiaTheme="majorEastAsia"/>
          <w:b w:val="0"/>
          <w:bCs w:val="0"/>
          <w:noProof/>
          <w:color w:val="000000" w:themeColor="text1"/>
        </w:rPr>
        <w:t xml:space="preserve">. </w:t>
      </w:r>
      <w:r w:rsidRPr="00DA5560">
        <w:rPr>
          <w:noProof/>
          <w:lang w:eastAsia="fr-FR"/>
        </w:rPr>
        <w:t>The</w:t>
      </w:r>
      <w:r w:rsidRPr="22CD9FD4">
        <w:rPr>
          <w:noProof/>
          <w:lang w:eastAsia="fr-FR"/>
        </w:rPr>
        <w:t xml:space="preserve"> Supreme Constitutional Court also launched official social media accounts to improve public communication and understanding of the work of the Court</w:t>
      </w:r>
      <w:r w:rsidRPr="22CD9FD4">
        <w:rPr>
          <w:rStyle w:val="FootnoteReference"/>
          <w:noProof/>
          <w:lang w:eastAsia="fr-FR"/>
        </w:rPr>
        <w:footnoteReference w:id="18"/>
      </w:r>
      <w:r w:rsidRPr="22CD9FD4">
        <w:rPr>
          <w:noProof/>
          <w:lang w:eastAsia="fr-FR"/>
        </w:rPr>
        <w:t>.</w:t>
      </w:r>
    </w:p>
    <w:p w14:paraId="08FF4025" w14:textId="790B48C0" w:rsidR="0040534C" w:rsidRPr="00F44DD4" w:rsidRDefault="0040534C" w:rsidP="0040534C">
      <w:pPr>
        <w:rPr>
          <w:noProof/>
          <w:lang w:val="en-IE" w:eastAsia="fr-FR"/>
        </w:rPr>
      </w:pPr>
      <w:r w:rsidRPr="00396960">
        <w:rPr>
          <w:b/>
          <w:bCs/>
          <w:noProof/>
          <w:lang w:eastAsia="fr-FR"/>
        </w:rPr>
        <w:t xml:space="preserve">The Supreme Constitutional Council </w:t>
      </w:r>
      <w:r>
        <w:rPr>
          <w:b/>
          <w:bCs/>
          <w:noProof/>
          <w:lang w:eastAsia="fr-FR"/>
        </w:rPr>
        <w:t>held</w:t>
      </w:r>
      <w:r w:rsidRPr="00396960">
        <w:rPr>
          <w:b/>
          <w:bCs/>
          <w:noProof/>
          <w:lang w:eastAsia="fr-FR"/>
        </w:rPr>
        <w:t xml:space="preserve"> that probationary appointments of judges </w:t>
      </w:r>
      <w:r>
        <w:rPr>
          <w:b/>
          <w:bCs/>
          <w:noProof/>
          <w:lang w:eastAsia="fr-FR"/>
        </w:rPr>
        <w:t xml:space="preserve">rely on </w:t>
      </w:r>
      <w:r w:rsidRPr="00396960">
        <w:rPr>
          <w:b/>
          <w:bCs/>
          <w:noProof/>
          <w:lang w:eastAsia="fr-FR"/>
        </w:rPr>
        <w:t>a long-standing practice.</w:t>
      </w:r>
      <w:r w:rsidRPr="00396960">
        <w:rPr>
          <w:noProof/>
          <w:lang w:eastAsia="fr-FR"/>
        </w:rPr>
        <w:t xml:space="preserve"> In Cyprus, judges serve a mandatory two-year probationary period before becoming permanent, during which their performance is reviewed. In June 2025, the Supreme Council of the Judicature denied permanent status to a judge under probation</w:t>
      </w:r>
      <w:r>
        <w:rPr>
          <w:noProof/>
          <w:lang w:eastAsia="fr-FR"/>
        </w:rPr>
        <w:t xml:space="preserve">, who then appealed, </w:t>
      </w:r>
      <w:r w:rsidRPr="005B6BE5">
        <w:rPr>
          <w:noProof/>
          <w:lang w:eastAsia="fr-FR"/>
        </w:rPr>
        <w:t>arguing that there is no clear legal framework in Cyprus governing how judges on probation can be dismissed or have their probation confirmed</w:t>
      </w:r>
      <w:r>
        <w:rPr>
          <w:rStyle w:val="FootnoteReference"/>
          <w:noProof/>
          <w:lang w:eastAsia="fr-FR"/>
        </w:rPr>
        <w:footnoteReference w:id="19"/>
      </w:r>
      <w:r w:rsidRPr="005B6BE5">
        <w:rPr>
          <w:noProof/>
          <w:lang w:eastAsia="fr-FR"/>
        </w:rPr>
        <w:t>.</w:t>
      </w:r>
      <w:r>
        <w:rPr>
          <w:noProof/>
          <w:lang w:eastAsia="fr-FR"/>
        </w:rPr>
        <w:t xml:space="preserve"> </w:t>
      </w:r>
      <w:r w:rsidRPr="00396960">
        <w:rPr>
          <w:noProof/>
          <w:lang w:eastAsia="fr-FR"/>
        </w:rPr>
        <w:t>In January 2026, the Supreme Constitutional Council confirmed by majority the initial decision, considering that the practice of probationary appointment of judges relies on a long-standing tradition</w:t>
      </w:r>
      <w:r w:rsidRPr="00396960">
        <w:rPr>
          <w:rStyle w:val="FootnoteReference"/>
          <w:noProof/>
          <w:lang w:eastAsia="fr-FR"/>
        </w:rPr>
        <w:footnoteReference w:id="20"/>
      </w:r>
      <w:r w:rsidRPr="00396960">
        <w:rPr>
          <w:noProof/>
          <w:lang w:eastAsia="fr-FR"/>
        </w:rPr>
        <w:t xml:space="preserve">. </w:t>
      </w:r>
    </w:p>
    <w:p w14:paraId="434C7208" w14:textId="77777777" w:rsidR="0040534C" w:rsidRPr="00396960" w:rsidRDefault="0040534C" w:rsidP="00E87A0D">
      <w:pPr>
        <w:pStyle w:val="Heading2"/>
        <w:numPr>
          <w:ilvl w:val="0"/>
          <w:numId w:val="0"/>
        </w:numPr>
        <w:rPr>
          <w:noProof/>
        </w:rPr>
      </w:pPr>
      <w:r w:rsidRPr="00396960">
        <w:rPr>
          <w:noProof/>
        </w:rPr>
        <w:t xml:space="preserve">Quality </w:t>
      </w:r>
    </w:p>
    <w:p w14:paraId="66BF6549" w14:textId="01D0C718" w:rsidR="0040534C" w:rsidRPr="00396960" w:rsidRDefault="0040534C" w:rsidP="0040534C">
      <w:pPr>
        <w:rPr>
          <w:noProof/>
          <w:lang w:eastAsia="fr-FR"/>
        </w:rPr>
      </w:pPr>
      <w:r>
        <w:rPr>
          <w:b/>
          <w:bCs/>
          <w:noProof/>
          <w:lang w:eastAsia="fr-FR"/>
        </w:rPr>
        <w:t>The digital</w:t>
      </w:r>
      <w:r w:rsidRPr="00396960">
        <w:rPr>
          <w:b/>
          <w:bCs/>
          <w:noProof/>
          <w:lang w:eastAsia="fr-FR"/>
        </w:rPr>
        <w:t xml:space="preserve"> transformation</w:t>
      </w:r>
      <w:r>
        <w:rPr>
          <w:b/>
          <w:bCs/>
          <w:noProof/>
          <w:lang w:eastAsia="fr-FR"/>
        </w:rPr>
        <w:t xml:space="preserve"> of the justice system</w:t>
      </w:r>
      <w:r w:rsidRPr="00396960">
        <w:rPr>
          <w:b/>
          <w:bCs/>
          <w:noProof/>
          <w:lang w:eastAsia="fr-FR"/>
        </w:rPr>
        <w:t xml:space="preserve"> </w:t>
      </w:r>
      <w:r>
        <w:rPr>
          <w:b/>
          <w:bCs/>
          <w:noProof/>
          <w:lang w:eastAsia="fr-FR"/>
        </w:rPr>
        <w:t>remains</w:t>
      </w:r>
      <w:r w:rsidRPr="00396960">
        <w:rPr>
          <w:b/>
          <w:bCs/>
          <w:noProof/>
          <w:lang w:eastAsia="fr-FR"/>
        </w:rPr>
        <w:t xml:space="preserve"> </w:t>
      </w:r>
      <w:r>
        <w:rPr>
          <w:b/>
          <w:bCs/>
          <w:noProof/>
          <w:lang w:eastAsia="fr-FR"/>
        </w:rPr>
        <w:t xml:space="preserve">limited and key projects are </w:t>
      </w:r>
      <w:r w:rsidRPr="00396960">
        <w:rPr>
          <w:b/>
          <w:bCs/>
          <w:noProof/>
          <w:lang w:eastAsia="fr-FR"/>
        </w:rPr>
        <w:t xml:space="preserve">progressing slowly. </w:t>
      </w:r>
      <w:r w:rsidRPr="00396960">
        <w:rPr>
          <w:noProof/>
          <w:lang w:eastAsia="fr-FR"/>
        </w:rPr>
        <w:t>The existing i-justice system operates effectively but remains primarily focused on electronic filing and document exchange and is utilised only by select</w:t>
      </w:r>
      <w:r>
        <w:rPr>
          <w:noProof/>
          <w:lang w:eastAsia="fr-FR"/>
        </w:rPr>
        <w:t>ed</w:t>
      </w:r>
      <w:r w:rsidRPr="00396960">
        <w:rPr>
          <w:noProof/>
          <w:lang w:eastAsia="fr-FR"/>
        </w:rPr>
        <w:t xml:space="preserve"> courts. The first phase of its upgrade, slated </w:t>
      </w:r>
      <w:r w:rsidRPr="00BE4FCD">
        <w:rPr>
          <w:noProof/>
          <w:lang w:eastAsia="fr-FR"/>
        </w:rPr>
        <w:t>for completion in June 2026, is on schedule</w:t>
      </w:r>
      <w:r w:rsidR="006F2E12">
        <w:rPr>
          <w:rStyle w:val="FootnoteReference"/>
          <w:noProof/>
          <w:lang w:eastAsia="fr-FR"/>
        </w:rPr>
        <w:footnoteReference w:id="21"/>
      </w:r>
      <w:r>
        <w:rPr>
          <w:noProof/>
          <w:lang w:eastAsia="fr-FR"/>
        </w:rPr>
        <w:t>. However,</w:t>
      </w:r>
      <w:r w:rsidRPr="00396960">
        <w:rPr>
          <w:noProof/>
          <w:lang w:eastAsia="fr-FR"/>
        </w:rPr>
        <w:t xml:space="preserve"> a fully integrated electronic case management system is not </w:t>
      </w:r>
      <w:r>
        <w:rPr>
          <w:noProof/>
          <w:lang w:eastAsia="fr-FR"/>
        </w:rPr>
        <w:t>expected</w:t>
      </w:r>
      <w:r w:rsidRPr="00396960">
        <w:rPr>
          <w:noProof/>
          <w:lang w:eastAsia="fr-FR"/>
        </w:rPr>
        <w:t xml:space="preserve"> until 2030</w:t>
      </w:r>
      <w:r w:rsidRPr="00396960">
        <w:rPr>
          <w:rStyle w:val="FootnoteReference"/>
          <w:noProof/>
          <w:lang w:eastAsia="fr-FR"/>
        </w:rPr>
        <w:footnoteReference w:id="22"/>
      </w:r>
      <w:r w:rsidRPr="00396960">
        <w:rPr>
          <w:noProof/>
          <w:lang w:eastAsia="fr-FR"/>
        </w:rPr>
        <w:t xml:space="preserve">. No </w:t>
      </w:r>
      <w:r w:rsidR="00115DBE">
        <w:rPr>
          <w:noProof/>
          <w:lang w:eastAsia="fr-FR"/>
        </w:rPr>
        <w:t xml:space="preserve">other </w:t>
      </w:r>
      <w:r w:rsidRPr="00396960">
        <w:rPr>
          <w:noProof/>
          <w:lang w:eastAsia="fr-FR"/>
        </w:rPr>
        <w:t xml:space="preserve">major reforms are currently planned to </w:t>
      </w:r>
      <w:r>
        <w:rPr>
          <w:noProof/>
          <w:lang w:eastAsia="fr-FR"/>
        </w:rPr>
        <w:t>improve</w:t>
      </w:r>
      <w:r w:rsidRPr="00396960">
        <w:rPr>
          <w:noProof/>
          <w:lang w:eastAsia="fr-FR"/>
        </w:rPr>
        <w:t xml:space="preserve"> the effective use of digital technologies in courts</w:t>
      </w:r>
      <w:r w:rsidR="00115DBE">
        <w:rPr>
          <w:rStyle w:val="FootnoteReference"/>
          <w:noProof/>
          <w:lang w:eastAsia="fr-FR"/>
        </w:rPr>
        <w:footnoteReference w:id="23"/>
      </w:r>
      <w:r w:rsidRPr="00396960">
        <w:rPr>
          <w:noProof/>
          <w:lang w:eastAsia="fr-FR"/>
        </w:rPr>
        <w:t>. Despite efforts</w:t>
      </w:r>
      <w:r>
        <w:rPr>
          <w:noProof/>
          <w:lang w:eastAsia="fr-FR"/>
        </w:rPr>
        <w:t xml:space="preserve"> by the Judicial Service</w:t>
      </w:r>
      <w:r w:rsidRPr="00396960">
        <w:rPr>
          <w:noProof/>
          <w:lang w:eastAsia="fr-FR"/>
        </w:rPr>
        <w:t>, paper-based procedures are still widespread, and judicial statistics continue to be gathered manually</w:t>
      </w:r>
      <w:r w:rsidRPr="00396960">
        <w:rPr>
          <w:rStyle w:val="FootnoteReference"/>
          <w:noProof/>
          <w:lang w:eastAsia="fr-FR"/>
        </w:rPr>
        <w:footnoteReference w:id="24"/>
      </w:r>
      <w:r w:rsidRPr="00396960">
        <w:rPr>
          <w:noProof/>
          <w:lang w:eastAsia="fr-FR"/>
        </w:rPr>
        <w:t xml:space="preserve">. Key projects aimed at enhancing digitalisation have faced implementation challenges, </w:t>
      </w:r>
      <w:r>
        <w:rPr>
          <w:noProof/>
          <w:lang w:eastAsia="fr-FR"/>
        </w:rPr>
        <w:t xml:space="preserve">and </w:t>
      </w:r>
      <w:r w:rsidRPr="00396960">
        <w:rPr>
          <w:noProof/>
          <w:lang w:eastAsia="fr-FR"/>
        </w:rPr>
        <w:t xml:space="preserve">some projects </w:t>
      </w:r>
      <w:r>
        <w:rPr>
          <w:noProof/>
          <w:lang w:eastAsia="fr-FR"/>
        </w:rPr>
        <w:t>had</w:t>
      </w:r>
      <w:r w:rsidRPr="00396960">
        <w:rPr>
          <w:noProof/>
          <w:lang w:eastAsia="fr-FR"/>
        </w:rPr>
        <w:t xml:space="preserve"> to be abandoned</w:t>
      </w:r>
      <w:r w:rsidR="00835870">
        <w:rPr>
          <w:noProof/>
          <w:lang w:eastAsia="fr-FR"/>
        </w:rPr>
        <w:t xml:space="preserve"> or deferred</w:t>
      </w:r>
      <w:r w:rsidRPr="00396960">
        <w:rPr>
          <w:rStyle w:val="FootnoteReference"/>
          <w:noProof/>
          <w:lang w:eastAsia="fr-FR"/>
        </w:rPr>
        <w:footnoteReference w:id="25"/>
      </w:r>
      <w:r w:rsidRPr="00396960">
        <w:rPr>
          <w:noProof/>
          <w:lang w:eastAsia="fr-FR"/>
        </w:rPr>
        <w:t>.</w:t>
      </w:r>
      <w:r>
        <w:rPr>
          <w:noProof/>
          <w:lang w:eastAsia="fr-FR"/>
        </w:rPr>
        <w:t xml:space="preserve"> </w:t>
      </w:r>
      <w:r w:rsidRPr="00396960">
        <w:rPr>
          <w:noProof/>
          <w:lang w:eastAsia="fr-FR"/>
        </w:rPr>
        <w:t xml:space="preserve">The Cyprus Bar Association advocates for broader, systematic adoption of technology, including remote hearings and digital recordings of court proceedings, as </w:t>
      </w:r>
      <w:r>
        <w:rPr>
          <w:noProof/>
          <w:lang w:eastAsia="fr-FR"/>
        </w:rPr>
        <w:t xml:space="preserve">a </w:t>
      </w:r>
      <w:r w:rsidRPr="00396960">
        <w:rPr>
          <w:noProof/>
          <w:lang w:eastAsia="fr-FR"/>
        </w:rPr>
        <w:t>means to enhance efficiency and reduce delays</w:t>
      </w:r>
      <w:r w:rsidRPr="00396960">
        <w:rPr>
          <w:rStyle w:val="FootnoteReference"/>
          <w:noProof/>
          <w:lang w:eastAsia="fr-FR"/>
        </w:rPr>
        <w:footnoteReference w:id="26"/>
      </w:r>
      <w:r w:rsidRPr="00396960">
        <w:rPr>
          <w:noProof/>
          <w:lang w:eastAsia="fr-FR"/>
        </w:rPr>
        <w:t xml:space="preserve">. </w:t>
      </w:r>
    </w:p>
    <w:p w14:paraId="579D8D31" w14:textId="28CDB355" w:rsidR="0040534C" w:rsidRPr="00396960" w:rsidRDefault="0040534C" w:rsidP="0040534C">
      <w:pPr>
        <w:rPr>
          <w:bCs/>
          <w:noProof/>
          <w:lang w:eastAsia="fr-FR"/>
        </w:rPr>
      </w:pPr>
      <w:r w:rsidRPr="00396960">
        <w:rPr>
          <w:b/>
          <w:noProof/>
          <w:lang w:eastAsia="fr-FR"/>
        </w:rPr>
        <w:t>Efforts to strengthen the alternative dispute resolution framework</w:t>
      </w:r>
      <w:r>
        <w:rPr>
          <w:b/>
          <w:noProof/>
          <w:lang w:eastAsia="fr-FR"/>
        </w:rPr>
        <w:t xml:space="preserve"> continue</w:t>
      </w:r>
      <w:r w:rsidRPr="00396960">
        <w:rPr>
          <w:b/>
          <w:noProof/>
          <w:lang w:eastAsia="fr-FR"/>
        </w:rPr>
        <w:t xml:space="preserve">. </w:t>
      </w:r>
      <w:r w:rsidR="00825001" w:rsidRPr="00825001">
        <w:rPr>
          <w:bCs/>
          <w:noProof/>
          <w:lang w:eastAsia="fr-FR"/>
        </w:rPr>
        <w:t>A d</w:t>
      </w:r>
      <w:r w:rsidRPr="00396960">
        <w:rPr>
          <w:bCs/>
          <w:noProof/>
          <w:lang w:eastAsia="fr-FR"/>
        </w:rPr>
        <w:t xml:space="preserve">raft </w:t>
      </w:r>
      <w:r>
        <w:rPr>
          <w:bCs/>
          <w:noProof/>
          <w:lang w:eastAsia="fr-FR"/>
        </w:rPr>
        <w:t>law</w:t>
      </w:r>
      <w:r w:rsidRPr="00396960">
        <w:rPr>
          <w:bCs/>
          <w:noProof/>
          <w:lang w:eastAsia="fr-FR"/>
        </w:rPr>
        <w:t xml:space="preserve"> prepared in 2024 to modernise arbitration </w:t>
      </w:r>
      <w:r w:rsidR="00FB5411">
        <w:rPr>
          <w:bCs/>
          <w:noProof/>
          <w:lang w:eastAsia="fr-FR"/>
        </w:rPr>
        <w:t xml:space="preserve">is </w:t>
      </w:r>
      <w:r>
        <w:rPr>
          <w:bCs/>
          <w:noProof/>
          <w:lang w:eastAsia="fr-FR"/>
        </w:rPr>
        <w:t>still</w:t>
      </w:r>
      <w:r w:rsidRPr="00396960">
        <w:rPr>
          <w:bCs/>
          <w:noProof/>
          <w:lang w:eastAsia="fr-FR"/>
        </w:rPr>
        <w:t xml:space="preserve"> under legal review by the Law Office and </w:t>
      </w:r>
      <w:r w:rsidR="00FB5411">
        <w:rPr>
          <w:bCs/>
          <w:noProof/>
          <w:lang w:eastAsia="fr-FR"/>
        </w:rPr>
        <w:t>is</w:t>
      </w:r>
      <w:r w:rsidR="00FB5411" w:rsidRPr="00396960">
        <w:rPr>
          <w:bCs/>
          <w:noProof/>
          <w:lang w:eastAsia="fr-FR"/>
        </w:rPr>
        <w:t xml:space="preserve"> </w:t>
      </w:r>
      <w:r w:rsidRPr="00396960">
        <w:rPr>
          <w:bCs/>
          <w:noProof/>
          <w:lang w:eastAsia="fr-FR"/>
        </w:rPr>
        <w:t xml:space="preserve">expected to be submitted to Parliament </w:t>
      </w:r>
      <w:r w:rsidR="00292B39">
        <w:rPr>
          <w:bCs/>
          <w:noProof/>
          <w:lang w:eastAsia="fr-FR"/>
        </w:rPr>
        <w:t>in September 2026</w:t>
      </w:r>
      <w:r w:rsidRPr="00396960">
        <w:rPr>
          <w:rStyle w:val="FootnoteReference"/>
          <w:bCs/>
          <w:noProof/>
          <w:lang w:eastAsia="fr-FR"/>
        </w:rPr>
        <w:footnoteReference w:id="27"/>
      </w:r>
      <w:r w:rsidRPr="00396960">
        <w:rPr>
          <w:bCs/>
          <w:noProof/>
          <w:lang w:eastAsia="fr-FR"/>
        </w:rPr>
        <w:t xml:space="preserve">. The </w:t>
      </w:r>
      <w:r>
        <w:rPr>
          <w:bCs/>
          <w:noProof/>
          <w:lang w:eastAsia="fr-FR"/>
        </w:rPr>
        <w:t>draft laws</w:t>
      </w:r>
      <w:r w:rsidRPr="00396960">
        <w:rPr>
          <w:bCs/>
          <w:noProof/>
          <w:lang w:eastAsia="fr-FR"/>
        </w:rPr>
        <w:t xml:space="preserve"> promoting mediation in civil disputes </w:t>
      </w:r>
      <w:r>
        <w:rPr>
          <w:bCs/>
          <w:noProof/>
          <w:lang w:eastAsia="fr-FR"/>
        </w:rPr>
        <w:t>equally remain</w:t>
      </w:r>
      <w:r w:rsidRPr="00396960">
        <w:rPr>
          <w:bCs/>
          <w:noProof/>
          <w:lang w:eastAsia="fr-FR"/>
        </w:rPr>
        <w:t xml:space="preserve"> pending before Parliament</w:t>
      </w:r>
      <w:r w:rsidRPr="00396960">
        <w:rPr>
          <w:bCs/>
          <w:noProof/>
          <w:vertAlign w:val="superscript"/>
          <w:lang w:eastAsia="fr-FR"/>
        </w:rPr>
        <w:footnoteReference w:id="28"/>
      </w:r>
      <w:r>
        <w:rPr>
          <w:bCs/>
          <w:noProof/>
          <w:lang w:eastAsia="fr-FR"/>
        </w:rPr>
        <w:t xml:space="preserve"> and</w:t>
      </w:r>
      <w:r w:rsidRPr="00396960">
        <w:rPr>
          <w:bCs/>
          <w:noProof/>
          <w:lang w:eastAsia="fr-FR"/>
        </w:rPr>
        <w:t xml:space="preserve"> have prompted extensive stakeholder discussions, particularly on the threshold for compulsory mediation, with the Bar Association favouring a reduction of the proposed EUR 5 000 limit, while business representatives remain unconvinced</w:t>
      </w:r>
      <w:r w:rsidRPr="00396960">
        <w:rPr>
          <w:bCs/>
          <w:noProof/>
          <w:vertAlign w:val="superscript"/>
          <w:lang w:eastAsia="fr-FR"/>
        </w:rPr>
        <w:footnoteReference w:id="29"/>
      </w:r>
      <w:r w:rsidRPr="00396960">
        <w:rPr>
          <w:bCs/>
          <w:noProof/>
          <w:lang w:eastAsia="fr-FR"/>
        </w:rPr>
        <w:t xml:space="preserve">. Despite these differences, there is broad support among stakeholders for promoting </w:t>
      </w:r>
      <w:r w:rsidRPr="00396960">
        <w:rPr>
          <w:noProof/>
          <w:lang w:eastAsia="fr-FR"/>
        </w:rPr>
        <w:t>alternative dispute resolution.</w:t>
      </w:r>
      <w:r w:rsidRPr="00396960">
        <w:rPr>
          <w:bCs/>
          <w:noProof/>
          <w:lang w:eastAsia="fr-FR"/>
        </w:rPr>
        <w:t xml:space="preserve"> </w:t>
      </w:r>
    </w:p>
    <w:p w14:paraId="523E6B50" w14:textId="523220BB" w:rsidR="0040534C" w:rsidRPr="00396960" w:rsidRDefault="0040534C" w:rsidP="0040534C">
      <w:pPr>
        <w:rPr>
          <w:bCs/>
          <w:noProof/>
          <w:lang w:eastAsia="fr-FR"/>
        </w:rPr>
      </w:pPr>
      <w:r w:rsidRPr="00396960">
        <w:rPr>
          <w:b/>
          <w:noProof/>
          <w:lang w:eastAsia="fr-FR"/>
        </w:rPr>
        <w:t xml:space="preserve">Challenges </w:t>
      </w:r>
      <w:r>
        <w:rPr>
          <w:b/>
          <w:noProof/>
          <w:lang w:eastAsia="fr-FR"/>
        </w:rPr>
        <w:t>regarding</w:t>
      </w:r>
      <w:r w:rsidRPr="00396960">
        <w:rPr>
          <w:b/>
          <w:noProof/>
          <w:lang w:eastAsia="fr-FR"/>
        </w:rPr>
        <w:t xml:space="preserve"> judicial recruitments and infrastructure persist. </w:t>
      </w:r>
      <w:r w:rsidRPr="00396960">
        <w:rPr>
          <w:bCs/>
          <w:noProof/>
          <w:lang w:eastAsia="fr-FR"/>
        </w:rPr>
        <w:t>Previously reported difficulties in recruiting judges and support staff persist. While efforts have been made to address longstanding vacancies, filling judicial positions remains a complex task</w:t>
      </w:r>
      <w:r w:rsidRPr="00396960">
        <w:rPr>
          <w:rStyle w:val="FootnoteReference"/>
          <w:bCs/>
          <w:noProof/>
          <w:lang w:eastAsia="fr-FR"/>
        </w:rPr>
        <w:footnoteReference w:id="30"/>
      </w:r>
      <w:r w:rsidRPr="00396960">
        <w:rPr>
          <w:bCs/>
          <w:noProof/>
          <w:lang w:eastAsia="fr-FR"/>
        </w:rPr>
        <w:t xml:space="preserve">. </w:t>
      </w:r>
      <w:r>
        <w:rPr>
          <w:bCs/>
          <w:noProof/>
          <w:lang w:eastAsia="fr-FR"/>
        </w:rPr>
        <w:t>According to judges, there are difficulties to attract s</w:t>
      </w:r>
      <w:r w:rsidRPr="00396960">
        <w:rPr>
          <w:bCs/>
          <w:noProof/>
          <w:lang w:eastAsia="fr-FR"/>
        </w:rPr>
        <w:t>uitably qualified lawyers</w:t>
      </w:r>
      <w:r>
        <w:rPr>
          <w:bCs/>
          <w:noProof/>
          <w:lang w:eastAsia="fr-FR"/>
        </w:rPr>
        <w:t xml:space="preserve"> to</w:t>
      </w:r>
      <w:r w:rsidRPr="00396960">
        <w:rPr>
          <w:bCs/>
          <w:noProof/>
          <w:lang w:eastAsia="fr-FR"/>
        </w:rPr>
        <w:t xml:space="preserve"> join the judiciary, and, as a result, </w:t>
      </w:r>
      <w:r>
        <w:rPr>
          <w:bCs/>
          <w:noProof/>
          <w:lang w:eastAsia="fr-FR"/>
        </w:rPr>
        <w:t xml:space="preserve">vacant </w:t>
      </w:r>
      <w:r w:rsidRPr="00396960">
        <w:rPr>
          <w:bCs/>
          <w:noProof/>
          <w:lang w:eastAsia="fr-FR"/>
        </w:rPr>
        <w:t xml:space="preserve">positions are often left open for </w:t>
      </w:r>
      <w:r>
        <w:rPr>
          <w:bCs/>
          <w:noProof/>
          <w:lang w:eastAsia="fr-FR"/>
        </w:rPr>
        <w:t xml:space="preserve">a </w:t>
      </w:r>
      <w:r w:rsidRPr="00396960">
        <w:rPr>
          <w:bCs/>
          <w:noProof/>
          <w:lang w:eastAsia="fr-FR"/>
        </w:rPr>
        <w:t xml:space="preserve">long </w:t>
      </w:r>
      <w:r>
        <w:rPr>
          <w:bCs/>
          <w:noProof/>
          <w:lang w:eastAsia="fr-FR"/>
        </w:rPr>
        <w:t xml:space="preserve">period </w:t>
      </w:r>
      <w:r w:rsidRPr="00396960">
        <w:rPr>
          <w:bCs/>
          <w:noProof/>
          <w:lang w:eastAsia="fr-FR"/>
        </w:rPr>
        <w:t xml:space="preserve">until appropriate applicants are found. According to the Bar Association, the absence of specialisation makes it harder to find qualified lawyers </w:t>
      </w:r>
      <w:r>
        <w:rPr>
          <w:bCs/>
          <w:noProof/>
          <w:lang w:eastAsia="fr-FR"/>
        </w:rPr>
        <w:t>for judicial positions</w:t>
      </w:r>
      <w:r w:rsidRPr="00396960">
        <w:rPr>
          <w:bCs/>
          <w:noProof/>
          <w:lang w:eastAsia="fr-FR"/>
        </w:rPr>
        <w:t xml:space="preserve">. The recruitment of </w:t>
      </w:r>
      <w:r>
        <w:rPr>
          <w:bCs/>
          <w:noProof/>
          <w:lang w:eastAsia="fr-FR"/>
        </w:rPr>
        <w:t>qualified</w:t>
      </w:r>
      <w:r w:rsidRPr="00396960">
        <w:rPr>
          <w:bCs/>
          <w:noProof/>
          <w:lang w:eastAsia="fr-FR"/>
        </w:rPr>
        <w:t xml:space="preserve"> support staff, such as assistants and administrative personnel, also presents difficulties</w:t>
      </w:r>
      <w:r>
        <w:rPr>
          <w:rStyle w:val="FootnoteReference"/>
          <w:bCs/>
          <w:noProof/>
          <w:lang w:eastAsia="fr-FR"/>
        </w:rPr>
        <w:footnoteReference w:id="31"/>
      </w:r>
      <w:r w:rsidRPr="00396960">
        <w:rPr>
          <w:bCs/>
          <w:noProof/>
          <w:lang w:eastAsia="fr-FR"/>
        </w:rPr>
        <w:t xml:space="preserve">. The </w:t>
      </w:r>
      <w:r w:rsidR="00DF6656">
        <w:rPr>
          <w:bCs/>
          <w:noProof/>
          <w:lang w:eastAsia="fr-FR"/>
        </w:rPr>
        <w:t xml:space="preserve">request of the </w:t>
      </w:r>
      <w:r w:rsidRPr="00396960">
        <w:rPr>
          <w:bCs/>
          <w:noProof/>
          <w:lang w:eastAsia="fr-FR"/>
        </w:rPr>
        <w:t>Law Office for additional legal and support staff given its increased workload</w:t>
      </w:r>
      <w:r w:rsidR="00BE5F31">
        <w:rPr>
          <w:bCs/>
          <w:noProof/>
          <w:lang w:eastAsia="fr-FR"/>
        </w:rPr>
        <w:t>, its planned reform</w:t>
      </w:r>
      <w:r w:rsidRPr="00396960">
        <w:rPr>
          <w:bCs/>
          <w:noProof/>
          <w:lang w:eastAsia="fr-FR"/>
        </w:rPr>
        <w:t xml:space="preserve"> and </w:t>
      </w:r>
      <w:r>
        <w:rPr>
          <w:bCs/>
          <w:noProof/>
          <w:lang w:eastAsia="fr-FR"/>
        </w:rPr>
        <w:t xml:space="preserve">the </w:t>
      </w:r>
      <w:r w:rsidRPr="00396960">
        <w:rPr>
          <w:bCs/>
          <w:noProof/>
          <w:lang w:eastAsia="fr-FR"/>
        </w:rPr>
        <w:t>growing complexity of cases</w:t>
      </w:r>
      <w:r w:rsidR="00BE5F31">
        <w:rPr>
          <w:bCs/>
          <w:noProof/>
          <w:lang w:eastAsia="fr-FR"/>
        </w:rPr>
        <w:t xml:space="preserve">, </w:t>
      </w:r>
      <w:r w:rsidR="00B971CB">
        <w:rPr>
          <w:bCs/>
          <w:noProof/>
          <w:lang w:eastAsia="fr-FR"/>
        </w:rPr>
        <w:t xml:space="preserve">has been approved </w:t>
      </w:r>
      <w:r w:rsidR="007277BA">
        <w:rPr>
          <w:bCs/>
          <w:noProof/>
          <w:lang w:eastAsia="fr-FR"/>
        </w:rPr>
        <w:t>by the Ministry of Finance</w:t>
      </w:r>
      <w:r w:rsidR="00B226EB">
        <w:rPr>
          <w:bCs/>
          <w:noProof/>
          <w:lang w:eastAsia="fr-FR"/>
        </w:rPr>
        <w:t xml:space="preserve">, while plans for the new building in Nicosia </w:t>
      </w:r>
      <w:r w:rsidR="002341EE">
        <w:rPr>
          <w:bCs/>
          <w:noProof/>
          <w:lang w:eastAsia="fr-FR"/>
        </w:rPr>
        <w:t>are</w:t>
      </w:r>
      <w:r w:rsidR="00482A33">
        <w:rPr>
          <w:bCs/>
          <w:noProof/>
          <w:lang w:eastAsia="fr-FR"/>
        </w:rPr>
        <w:t xml:space="preserve"> also</w:t>
      </w:r>
      <w:r w:rsidR="002341EE">
        <w:rPr>
          <w:bCs/>
          <w:noProof/>
          <w:lang w:eastAsia="fr-FR"/>
        </w:rPr>
        <w:t xml:space="preserve"> progressing</w:t>
      </w:r>
      <w:r w:rsidRPr="00396960">
        <w:rPr>
          <w:rStyle w:val="FootnoteReference"/>
          <w:bCs/>
          <w:noProof/>
          <w:lang w:eastAsia="fr-FR"/>
        </w:rPr>
        <w:footnoteReference w:id="32"/>
      </w:r>
      <w:r w:rsidRPr="00396960">
        <w:rPr>
          <w:bCs/>
          <w:noProof/>
          <w:lang w:eastAsia="fr-FR"/>
        </w:rPr>
        <w:t>. Plans for new court buildings in Nicosia, where facilities</w:t>
      </w:r>
      <w:r>
        <w:rPr>
          <w:bCs/>
          <w:noProof/>
          <w:lang w:eastAsia="fr-FR"/>
        </w:rPr>
        <w:t xml:space="preserve"> currently</w:t>
      </w:r>
      <w:r w:rsidRPr="00396960">
        <w:rPr>
          <w:bCs/>
          <w:noProof/>
          <w:lang w:eastAsia="fr-FR"/>
        </w:rPr>
        <w:t xml:space="preserve"> do not fully meet modern operational needs, have </w:t>
      </w:r>
      <w:r>
        <w:rPr>
          <w:bCs/>
          <w:noProof/>
          <w:lang w:eastAsia="fr-FR"/>
        </w:rPr>
        <w:t>not yet materialised</w:t>
      </w:r>
      <w:r w:rsidRPr="00396960">
        <w:rPr>
          <w:rStyle w:val="FootnoteReference"/>
          <w:bCs/>
          <w:noProof/>
          <w:lang w:eastAsia="fr-FR"/>
        </w:rPr>
        <w:footnoteReference w:id="33"/>
      </w:r>
      <w:r w:rsidRPr="00396960">
        <w:rPr>
          <w:bCs/>
          <w:noProof/>
          <w:lang w:eastAsia="fr-FR"/>
        </w:rPr>
        <w:t xml:space="preserve">.  </w:t>
      </w:r>
    </w:p>
    <w:p w14:paraId="3FA7C616" w14:textId="77777777" w:rsidR="0040534C" w:rsidRPr="00396960" w:rsidRDefault="0040534C" w:rsidP="00E87A0D">
      <w:pPr>
        <w:pStyle w:val="Heading2"/>
        <w:numPr>
          <w:ilvl w:val="0"/>
          <w:numId w:val="0"/>
        </w:numPr>
        <w:rPr>
          <w:noProof/>
        </w:rPr>
      </w:pPr>
      <w:r w:rsidRPr="00396960">
        <w:rPr>
          <w:noProof/>
        </w:rPr>
        <w:t>Efficiency</w:t>
      </w:r>
    </w:p>
    <w:p w14:paraId="226714A8" w14:textId="77777777" w:rsidR="0040534C" w:rsidRPr="00396960" w:rsidRDefault="0040534C" w:rsidP="0040534C">
      <w:pPr>
        <w:rPr>
          <w:noProof/>
        </w:rPr>
      </w:pPr>
      <w:r w:rsidRPr="00396960">
        <w:rPr>
          <w:b/>
          <w:bCs/>
          <w:noProof/>
          <w:lang w:eastAsia="fr-FR"/>
        </w:rPr>
        <w:t xml:space="preserve">The clearance of backlog cases is progressing, while the duration of judicial proceedings remains a serious concern. </w:t>
      </w:r>
      <w:r w:rsidRPr="00396960">
        <w:rPr>
          <w:noProof/>
          <w:lang w:eastAsia="fr-FR"/>
        </w:rPr>
        <w:t>Disposition times for litigious civil and commercial cases in first and second instance courts continue to rank among the highest in the EU, averaging 682 and 1 426 days, respectively, in 2024. For administrative cases, at first instance, disposition times doubled from 380 days in 2023 to 788 days in 2024, while at second instance, they fell sharply to a more manageable 489 days in 2024 (down from 5,429 days in 2023). In 2024, the clearance rate for civil and commercial cases at first instance courts reached 154%, the highest in the EU, while for administrative cases it dropped to 78% (110% in 2023)</w:t>
      </w:r>
      <w:r w:rsidRPr="00396960">
        <w:rPr>
          <w:rStyle w:val="FootnoteReference"/>
          <w:noProof/>
          <w:lang w:eastAsia="fr-FR"/>
        </w:rPr>
        <w:footnoteReference w:id="34"/>
      </w:r>
      <w:r w:rsidRPr="00396960">
        <w:rPr>
          <w:noProof/>
          <w:lang w:eastAsia="fr-FR"/>
        </w:rPr>
        <w:t xml:space="preserve">. </w:t>
      </w:r>
      <w:r w:rsidRPr="00396960">
        <w:rPr>
          <w:noProof/>
        </w:rPr>
        <w:t>Addressing backlog cases remains a key priority for the judiciary</w:t>
      </w:r>
      <w:r>
        <w:rPr>
          <w:rStyle w:val="FootnoteReference"/>
          <w:noProof/>
        </w:rPr>
        <w:footnoteReference w:id="35"/>
      </w:r>
      <w:r w:rsidRPr="00396960">
        <w:rPr>
          <w:noProof/>
        </w:rPr>
        <w:t>. Although reductions have been achieved, a substantial number of backlog cases persist, particularly before the Administrative Court of First Instance</w:t>
      </w:r>
      <w:r w:rsidRPr="00396960">
        <w:rPr>
          <w:rStyle w:val="FootnoteReference"/>
          <w:noProof/>
        </w:rPr>
        <w:footnoteReference w:id="36"/>
      </w:r>
      <w:r w:rsidRPr="00396960">
        <w:rPr>
          <w:noProof/>
        </w:rPr>
        <w:t>. There has been a marked decrease in new incoming cases, which all justice stakeholders attribute—at least in part—to the prolonged duration of proceedings, acting as a deterrent for individuals and businesses considering litigation</w:t>
      </w:r>
      <w:r w:rsidRPr="00396960">
        <w:rPr>
          <w:rStyle w:val="FootnoteReference"/>
          <w:noProof/>
        </w:rPr>
        <w:footnoteReference w:id="37"/>
      </w:r>
      <w:r w:rsidRPr="00396960">
        <w:rPr>
          <w:noProof/>
        </w:rPr>
        <w:t xml:space="preserve">. For judges, the reduction in caseloads is an opportunity to further tackle the backlog. </w:t>
      </w:r>
    </w:p>
    <w:p w14:paraId="679042A0" w14:textId="77777777" w:rsidR="0040534C" w:rsidRPr="00396960" w:rsidRDefault="0040534C" w:rsidP="0040534C">
      <w:pPr>
        <w:rPr>
          <w:noProof/>
        </w:rPr>
      </w:pPr>
      <w:r w:rsidRPr="00396960">
        <w:rPr>
          <w:b/>
          <w:bCs/>
          <w:noProof/>
        </w:rPr>
        <w:t>New procedural rules aim to enhance efficiency.</w:t>
      </w:r>
      <w:r w:rsidRPr="00396960">
        <w:rPr>
          <w:noProof/>
        </w:rPr>
        <w:t xml:space="preserve"> </w:t>
      </w:r>
      <w:r w:rsidRPr="00396960">
        <w:rPr>
          <w:noProof/>
          <w:lang w:eastAsia="fr-FR"/>
        </w:rPr>
        <w:t xml:space="preserve">In January 2026, </w:t>
      </w:r>
      <w:r w:rsidRPr="00396960">
        <w:rPr>
          <w:noProof/>
        </w:rPr>
        <w:t xml:space="preserve">new procedural rules, establishing clear time limits for issuing judgments in administrative cases, </w:t>
      </w:r>
      <w:r w:rsidRPr="00396960">
        <w:rPr>
          <w:noProof/>
          <w:lang w:eastAsia="fr-FR"/>
        </w:rPr>
        <w:t>came into force</w:t>
      </w:r>
      <w:r w:rsidRPr="00396960">
        <w:rPr>
          <w:rStyle w:val="FootnoteReference"/>
          <w:noProof/>
        </w:rPr>
        <w:footnoteReference w:id="38"/>
      </w:r>
      <w:r w:rsidRPr="00396960">
        <w:rPr>
          <w:noProof/>
        </w:rPr>
        <w:t>. T</w:t>
      </w:r>
      <w:r w:rsidRPr="00396960">
        <w:rPr>
          <w:noProof/>
          <w:lang w:eastAsia="fr-FR"/>
        </w:rPr>
        <w:t>o ensure compliance, unjustified or persistent delays in meeting these deadlines may now trigger disciplinary proceedings. These measures build on earlier reforms, notably the new Rules on Civil Procedure, in force since September 2023</w:t>
      </w:r>
      <w:r w:rsidRPr="00396960">
        <w:rPr>
          <w:rStyle w:val="FootnoteReference"/>
          <w:noProof/>
          <w:lang w:eastAsia="fr-FR"/>
        </w:rPr>
        <w:footnoteReference w:id="39"/>
      </w:r>
      <w:r w:rsidRPr="00396960">
        <w:rPr>
          <w:noProof/>
          <w:lang w:eastAsia="fr-FR"/>
        </w:rPr>
        <w:t xml:space="preserve">. </w:t>
      </w:r>
      <w:r w:rsidRPr="00396960">
        <w:rPr>
          <w:noProof/>
        </w:rPr>
        <w:t>Judges report that in civil cases the new rules have improved case management, by reducing unnecessary adjournments</w:t>
      </w:r>
      <w:r w:rsidRPr="00396960">
        <w:rPr>
          <w:rStyle w:val="FootnoteReference"/>
          <w:noProof/>
        </w:rPr>
        <w:footnoteReference w:id="40"/>
      </w:r>
      <w:r w:rsidRPr="00396960">
        <w:rPr>
          <w:noProof/>
        </w:rPr>
        <w:t>. A bill allow</w:t>
      </w:r>
      <w:r>
        <w:rPr>
          <w:noProof/>
        </w:rPr>
        <w:t>ing</w:t>
      </w:r>
      <w:r w:rsidRPr="00396960">
        <w:rPr>
          <w:noProof/>
        </w:rPr>
        <w:t xml:space="preserve"> direct appeals against court warrants</w:t>
      </w:r>
      <w:r>
        <w:rPr>
          <w:noProof/>
        </w:rPr>
        <w:t xml:space="preserve"> and</w:t>
      </w:r>
      <w:r w:rsidRPr="00396960">
        <w:rPr>
          <w:noProof/>
        </w:rPr>
        <w:t xml:space="preserve"> replac</w:t>
      </w:r>
      <w:r>
        <w:rPr>
          <w:noProof/>
        </w:rPr>
        <w:t>ing</w:t>
      </w:r>
      <w:r w:rsidRPr="00396960">
        <w:rPr>
          <w:noProof/>
        </w:rPr>
        <w:t xml:space="preserve"> </w:t>
      </w:r>
      <w:r>
        <w:rPr>
          <w:noProof/>
        </w:rPr>
        <w:t xml:space="preserve">prerogative </w:t>
      </w:r>
      <w:r w:rsidRPr="00396960">
        <w:rPr>
          <w:noProof/>
        </w:rPr>
        <w:t>review by the Supreme Court</w:t>
      </w:r>
      <w:r>
        <w:rPr>
          <w:noProof/>
        </w:rPr>
        <w:t xml:space="preserve"> – aimed to accelerate proceedings and alleviate the Supreme Court’s caseload - remains pending before Parliament</w:t>
      </w:r>
      <w:r w:rsidRPr="00396960">
        <w:rPr>
          <w:noProof/>
        </w:rPr>
        <w:t>. While backed by the Supreme Court, the Cyprus Bar Association has raised objections</w:t>
      </w:r>
      <w:r>
        <w:rPr>
          <w:noProof/>
        </w:rPr>
        <w:t xml:space="preserve">, arguing that </w:t>
      </w:r>
      <w:r w:rsidRPr="007139FC">
        <w:rPr>
          <w:noProof/>
        </w:rPr>
        <w:t xml:space="preserve">replacing the current limited </w:t>
      </w:r>
      <w:r>
        <w:rPr>
          <w:noProof/>
        </w:rPr>
        <w:t xml:space="preserve">prerogative </w:t>
      </w:r>
      <w:r w:rsidRPr="007139FC">
        <w:rPr>
          <w:noProof/>
        </w:rPr>
        <w:t xml:space="preserve">review </w:t>
      </w:r>
      <w:r>
        <w:rPr>
          <w:noProof/>
        </w:rPr>
        <w:t xml:space="preserve">by the Supreme Court </w:t>
      </w:r>
      <w:r w:rsidRPr="007139FC">
        <w:rPr>
          <w:noProof/>
        </w:rPr>
        <w:t>with a full appeal mechanism could delay investigations and increase procedural complexity</w:t>
      </w:r>
      <w:r w:rsidRPr="00396960">
        <w:rPr>
          <w:rStyle w:val="FootnoteReference"/>
          <w:noProof/>
        </w:rPr>
        <w:footnoteReference w:id="41"/>
      </w:r>
      <w:r w:rsidRPr="00396960">
        <w:rPr>
          <w:noProof/>
        </w:rPr>
        <w:t xml:space="preserve">. </w:t>
      </w:r>
    </w:p>
    <w:p w14:paraId="2458ECE9" w14:textId="7F82791F" w:rsidR="0040534C" w:rsidRPr="00396960" w:rsidRDefault="0040534C" w:rsidP="0040534C">
      <w:pPr>
        <w:rPr>
          <w:noProof/>
        </w:rPr>
      </w:pPr>
      <w:r w:rsidRPr="00396960">
        <w:rPr>
          <w:b/>
          <w:bCs/>
          <w:noProof/>
        </w:rPr>
        <w:t>The prolonged delay in making the Commercial Court operational continues to raise serious concerns among the business community.</w:t>
      </w:r>
      <w:r w:rsidRPr="00396960">
        <w:rPr>
          <w:noProof/>
        </w:rPr>
        <w:t xml:space="preserve"> Although the legislation establishing the Court was adopted in 202</w:t>
      </w:r>
      <w:r w:rsidR="00BB0CD6">
        <w:rPr>
          <w:noProof/>
        </w:rPr>
        <w:t>2</w:t>
      </w:r>
      <w:r w:rsidRPr="00396960">
        <w:rPr>
          <w:rStyle w:val="FootnoteReference"/>
          <w:noProof/>
        </w:rPr>
        <w:footnoteReference w:id="42"/>
      </w:r>
      <w:r w:rsidRPr="00396960">
        <w:rPr>
          <w:noProof/>
        </w:rPr>
        <w:t>, key implementation steps remain outstanding, most notably the recruitment of judges</w:t>
      </w:r>
      <w:r w:rsidRPr="00396960">
        <w:rPr>
          <w:rStyle w:val="FootnoteReference"/>
          <w:noProof/>
        </w:rPr>
        <w:footnoteReference w:id="43"/>
      </w:r>
      <w:r w:rsidRPr="00396960">
        <w:rPr>
          <w:noProof/>
        </w:rPr>
        <w:t>. This delay undermines the core objective of the reform, namely the faster resolution of commercial disputes</w:t>
      </w:r>
      <w:r>
        <w:rPr>
          <w:rStyle w:val="FootnoteReference"/>
          <w:noProof/>
        </w:rPr>
        <w:footnoteReference w:id="44"/>
      </w:r>
      <w:r w:rsidRPr="00396960">
        <w:rPr>
          <w:noProof/>
        </w:rPr>
        <w:t xml:space="preserve">. Business representatives warn that </w:t>
      </w:r>
      <w:r>
        <w:rPr>
          <w:noProof/>
        </w:rPr>
        <w:t xml:space="preserve">delayed </w:t>
      </w:r>
      <w:r w:rsidRPr="00396960">
        <w:rPr>
          <w:noProof/>
        </w:rPr>
        <w:t>adjudication renders claims obsolete, increases companies’ operational costs, and erodes overall confidence in the judicial system</w:t>
      </w:r>
      <w:r w:rsidRPr="00396960">
        <w:rPr>
          <w:rStyle w:val="FootnoteReference"/>
          <w:noProof/>
        </w:rPr>
        <w:footnoteReference w:id="45"/>
      </w:r>
      <w:r w:rsidRPr="00396960">
        <w:rPr>
          <w:noProof/>
        </w:rPr>
        <w:t>.</w:t>
      </w:r>
    </w:p>
    <w:p w14:paraId="028578FF" w14:textId="2AD2DBDF" w:rsidR="0040534C" w:rsidRPr="00396960" w:rsidRDefault="0040534C" w:rsidP="0040534C">
      <w:pPr>
        <w:rPr>
          <w:b/>
          <w:bCs/>
          <w:i/>
          <w:iCs/>
          <w:noProof/>
          <w:lang w:eastAsia="fr-FR"/>
        </w:rPr>
      </w:pPr>
      <w:r w:rsidRPr="743FA8E6">
        <w:rPr>
          <w:b/>
          <w:bCs/>
          <w:noProof/>
          <w:lang w:eastAsia="fr-FR"/>
        </w:rPr>
        <w:t>The establishment of an Independent Court Service</w:t>
      </w:r>
      <w:r w:rsidRPr="743FA8E6">
        <w:rPr>
          <w:b/>
          <w:bCs/>
          <w:noProof/>
          <w:lang w:val="en-IE" w:eastAsia="fr-FR"/>
        </w:rPr>
        <w:t>,</w:t>
      </w:r>
      <w:r w:rsidRPr="743FA8E6">
        <w:rPr>
          <w:b/>
          <w:bCs/>
          <w:noProof/>
          <w:lang w:eastAsia="fr-FR"/>
        </w:rPr>
        <w:t xml:space="preserve"> that seeks to</w:t>
      </w:r>
      <w:r w:rsidRPr="743FA8E6">
        <w:rPr>
          <w:b/>
          <w:bCs/>
          <w:noProof/>
          <w:lang w:val="en-IE" w:eastAsia="fr-FR"/>
        </w:rPr>
        <w:t xml:space="preserve"> streamline court administration and alleviate the burden on the judiciary, faces persistent delays.</w:t>
      </w:r>
      <w:r w:rsidRPr="743FA8E6">
        <w:rPr>
          <w:noProof/>
          <w:lang w:val="en-IE"/>
        </w:rPr>
        <w:t xml:space="preserve"> </w:t>
      </w:r>
      <w:r w:rsidRPr="743FA8E6">
        <w:rPr>
          <w:noProof/>
          <w:lang w:val="en-IE" w:eastAsia="fr-FR"/>
        </w:rPr>
        <w:t>A study concluded in January 2023 outlined recommendations for the service’s structure, procedures, and staffing needs, with implementation expected within three years</w:t>
      </w:r>
      <w:r w:rsidRPr="743FA8E6">
        <w:rPr>
          <w:rStyle w:val="FootnoteReference"/>
          <w:noProof/>
          <w:lang w:val="en-IE" w:eastAsia="fr-FR"/>
        </w:rPr>
        <w:footnoteReference w:id="46"/>
      </w:r>
      <w:r w:rsidRPr="743FA8E6">
        <w:rPr>
          <w:noProof/>
          <w:lang w:val="en-IE" w:eastAsia="fr-FR"/>
        </w:rPr>
        <w:t xml:space="preserve">. However, </w:t>
      </w:r>
      <w:r w:rsidR="00FE61CA">
        <w:rPr>
          <w:noProof/>
          <w:lang w:val="en-IE" w:eastAsia="fr-FR"/>
        </w:rPr>
        <w:t>implementation remains pending</w:t>
      </w:r>
      <w:r w:rsidRPr="743FA8E6">
        <w:rPr>
          <w:noProof/>
          <w:lang w:val="en-IE" w:eastAsia="fr-FR"/>
        </w:rPr>
        <w:t>, and no concrete timeline has been established.</w:t>
      </w:r>
      <w:r>
        <w:rPr>
          <w:noProof/>
          <w:lang w:val="en-IE" w:eastAsia="fr-FR"/>
        </w:rPr>
        <w:t xml:space="preserve"> </w:t>
      </w:r>
      <w:r>
        <w:rPr>
          <w:noProof/>
          <w:lang w:eastAsia="fr-FR"/>
        </w:rPr>
        <w:t xml:space="preserve">A </w:t>
      </w:r>
      <w:r w:rsidR="00EE3624">
        <w:rPr>
          <w:noProof/>
          <w:lang w:eastAsia="fr-FR"/>
        </w:rPr>
        <w:t xml:space="preserve">second </w:t>
      </w:r>
      <w:r w:rsidRPr="743FA8E6">
        <w:rPr>
          <w:noProof/>
          <w:lang w:eastAsia="fr-FR"/>
        </w:rPr>
        <w:t>report</w:t>
      </w:r>
      <w:r>
        <w:rPr>
          <w:noProof/>
          <w:lang w:eastAsia="fr-FR"/>
        </w:rPr>
        <w:t>,</w:t>
      </w:r>
      <w:r w:rsidRPr="743FA8E6">
        <w:rPr>
          <w:noProof/>
          <w:lang w:eastAsia="fr-FR"/>
        </w:rPr>
        <w:t xml:space="preserve"> </w:t>
      </w:r>
      <w:r w:rsidR="00EE3624">
        <w:rPr>
          <w:noProof/>
          <w:lang w:eastAsia="fr-FR"/>
        </w:rPr>
        <w:t xml:space="preserve">prepared in July 2024 and </w:t>
      </w:r>
      <w:r w:rsidRPr="743FA8E6">
        <w:rPr>
          <w:noProof/>
          <w:lang w:eastAsia="fr-FR"/>
        </w:rPr>
        <w:t>agreed in October 2025 by the Supreme Constitutional Court, the Supreme Court</w:t>
      </w:r>
      <w:r w:rsidR="000423DD">
        <w:rPr>
          <w:noProof/>
          <w:lang w:eastAsia="fr-FR"/>
        </w:rPr>
        <w:t xml:space="preserve">, the Ministry of Finance </w:t>
      </w:r>
      <w:r w:rsidRPr="743FA8E6">
        <w:rPr>
          <w:noProof/>
          <w:lang w:eastAsia="fr-FR"/>
        </w:rPr>
        <w:t>and the Ministry of Justice</w:t>
      </w:r>
      <w:r w:rsidR="00A019A8">
        <w:rPr>
          <w:noProof/>
          <w:lang w:eastAsia="fr-FR"/>
        </w:rPr>
        <w:t xml:space="preserve"> and Public Order</w:t>
      </w:r>
      <w:r>
        <w:rPr>
          <w:noProof/>
          <w:lang w:eastAsia="fr-FR"/>
        </w:rPr>
        <w:t>,</w:t>
      </w:r>
      <w:r w:rsidRPr="743FA8E6">
        <w:rPr>
          <w:noProof/>
          <w:lang w:eastAsia="fr-FR"/>
        </w:rPr>
        <w:t xml:space="preserve"> sets out a</w:t>
      </w:r>
      <w:r w:rsidR="00F3088C">
        <w:rPr>
          <w:noProof/>
          <w:lang w:eastAsia="fr-FR"/>
        </w:rPr>
        <w:t>nother</w:t>
      </w:r>
      <w:r w:rsidRPr="743FA8E6">
        <w:rPr>
          <w:noProof/>
          <w:lang w:eastAsia="fr-FR"/>
        </w:rPr>
        <w:t xml:space="preserve"> proposal for restructuring the Judicial Service. The proposed reform centres on a clear separation between judicial and administrative functions, with the aim of relieving judges of non-judicial duties that currently hinder their core work. A key element of the proposal involves redefining the role of court registrars</w:t>
      </w:r>
      <w:r w:rsidRPr="743FA8E6">
        <w:rPr>
          <w:rStyle w:val="FootnoteReference"/>
          <w:noProof/>
          <w:lang w:eastAsia="fr-FR"/>
        </w:rPr>
        <w:footnoteReference w:id="47"/>
      </w:r>
      <w:r w:rsidRPr="743FA8E6">
        <w:rPr>
          <w:noProof/>
          <w:lang w:eastAsia="fr-FR"/>
        </w:rPr>
        <w:t xml:space="preserve">. </w:t>
      </w:r>
      <w:r>
        <w:rPr>
          <w:noProof/>
          <w:lang w:eastAsia="fr-FR"/>
        </w:rPr>
        <w:t>This</w:t>
      </w:r>
      <w:r w:rsidRPr="743FA8E6">
        <w:rPr>
          <w:noProof/>
          <w:lang w:eastAsia="fr-FR"/>
        </w:rPr>
        <w:t xml:space="preserve"> could lead to faster case processing and a court administration</w:t>
      </w:r>
      <w:r>
        <w:rPr>
          <w:noProof/>
          <w:lang w:eastAsia="fr-FR"/>
        </w:rPr>
        <w:t xml:space="preserve"> </w:t>
      </w:r>
      <w:r w:rsidRPr="00225A6F">
        <w:rPr>
          <w:noProof/>
          <w:lang w:eastAsia="fr-FR"/>
        </w:rPr>
        <w:t>entrusted to specialised non-judicial personnel</w:t>
      </w:r>
      <w:r w:rsidRPr="743FA8E6">
        <w:rPr>
          <w:noProof/>
          <w:lang w:eastAsia="fr-FR"/>
        </w:rPr>
        <w:t>. However, neither the final model nor the precise mode of implementation have been decided to date. The Bar Association continues to identify the establishment of an Independent Court Service as a priority for the proper functioning of the courts, underscoring the urgency of moving to concrete action</w:t>
      </w:r>
      <w:r w:rsidRPr="743FA8E6">
        <w:rPr>
          <w:rStyle w:val="FootnoteReference"/>
          <w:noProof/>
          <w:lang w:eastAsia="fr-FR"/>
        </w:rPr>
        <w:footnoteReference w:id="48"/>
      </w:r>
      <w:r w:rsidRPr="743FA8E6">
        <w:rPr>
          <w:noProof/>
          <w:lang w:eastAsia="fr-FR"/>
        </w:rPr>
        <w:t>.</w:t>
      </w:r>
      <w:r w:rsidRPr="743FA8E6">
        <w:rPr>
          <w:b/>
          <w:bCs/>
          <w:i/>
          <w:iCs/>
          <w:noProof/>
          <w:lang w:eastAsia="fr-FR"/>
        </w:rPr>
        <w:t xml:space="preserve"> </w:t>
      </w:r>
    </w:p>
    <w:p w14:paraId="557F73A6" w14:textId="31D5CF2C" w:rsidR="0040534C" w:rsidRPr="00396960" w:rsidRDefault="0040534C" w:rsidP="0040534C">
      <w:pPr>
        <w:rPr>
          <w:b/>
          <w:bCs/>
          <w:i/>
          <w:iCs/>
          <w:noProof/>
          <w:lang w:eastAsia="fr-FR"/>
        </w:rPr>
      </w:pPr>
      <w:r w:rsidRPr="00396960">
        <w:rPr>
          <w:b/>
          <w:bCs/>
          <w:noProof/>
          <w:lang w:eastAsia="fr-FR"/>
        </w:rPr>
        <w:t xml:space="preserve">Efforts to remove legal obstacles in enforcing court judgments have not </w:t>
      </w:r>
      <w:r>
        <w:rPr>
          <w:b/>
          <w:bCs/>
          <w:noProof/>
          <w:lang w:eastAsia="fr-FR"/>
        </w:rPr>
        <w:t>advanced</w:t>
      </w:r>
      <w:r w:rsidRPr="00396960">
        <w:rPr>
          <w:noProof/>
          <w:lang w:eastAsia="fr-FR"/>
        </w:rPr>
        <w:t>. The bill on enforcement of judgments remains pending before Parliament</w:t>
      </w:r>
      <w:r w:rsidRPr="00396960">
        <w:rPr>
          <w:rStyle w:val="FootnoteReference"/>
          <w:noProof/>
          <w:lang w:eastAsia="fr-FR"/>
        </w:rPr>
        <w:footnoteReference w:id="49"/>
      </w:r>
      <w:r w:rsidRPr="00396960">
        <w:rPr>
          <w:noProof/>
          <w:lang w:eastAsia="fr-FR"/>
        </w:rPr>
        <w:t>.</w:t>
      </w:r>
      <w:r w:rsidRPr="00396960">
        <w:rPr>
          <w:noProof/>
        </w:rPr>
        <w:t xml:space="preserve"> </w:t>
      </w:r>
      <w:r w:rsidRPr="00CC781E">
        <w:rPr>
          <w:noProof/>
        </w:rPr>
        <w:t>Delays and difficulties in enforcing final judgments are an additional challenge for the efficiency of justice</w:t>
      </w:r>
      <w:r>
        <w:rPr>
          <w:rStyle w:val="FootnoteReference"/>
          <w:noProof/>
        </w:rPr>
        <w:footnoteReference w:id="50"/>
      </w:r>
      <w:r>
        <w:rPr>
          <w:noProof/>
        </w:rPr>
        <w:t xml:space="preserve">. </w:t>
      </w:r>
      <w:r w:rsidRPr="00396960">
        <w:rPr>
          <w:noProof/>
        </w:rPr>
        <w:t xml:space="preserve">The Bar association referred to previously reported difficulties to </w:t>
      </w:r>
      <w:r>
        <w:rPr>
          <w:noProof/>
        </w:rPr>
        <w:t>emphasise</w:t>
      </w:r>
      <w:r w:rsidRPr="00396960">
        <w:rPr>
          <w:noProof/>
        </w:rPr>
        <w:t xml:space="preserve"> that</w:t>
      </w:r>
      <w:r>
        <w:rPr>
          <w:noProof/>
        </w:rPr>
        <w:t>,</w:t>
      </w:r>
      <w:r w:rsidRPr="00396960">
        <w:rPr>
          <w:noProof/>
        </w:rPr>
        <w:t xml:space="preserve"> e</w:t>
      </w:r>
      <w:r w:rsidRPr="00396960">
        <w:rPr>
          <w:noProof/>
          <w:lang w:eastAsia="fr-FR"/>
        </w:rPr>
        <w:t>ven after enduring lengthy and costly litigation, successful litigants frequently encounter obstacles to enforce judgments</w:t>
      </w:r>
      <w:r w:rsidRPr="00396960">
        <w:rPr>
          <w:rStyle w:val="FootnoteReference"/>
          <w:noProof/>
          <w:lang w:eastAsia="fr-FR"/>
        </w:rPr>
        <w:footnoteReference w:id="51"/>
      </w:r>
      <w:r w:rsidRPr="00396960">
        <w:rPr>
          <w:noProof/>
          <w:lang w:eastAsia="fr-FR"/>
        </w:rPr>
        <w:t>. A proposal by the Government to regulate the administration’s failure to comply with judgments by administrative courts has not progressed yet</w:t>
      </w:r>
      <w:r w:rsidRPr="00396960">
        <w:rPr>
          <w:rStyle w:val="FootnoteReference"/>
          <w:noProof/>
          <w:lang w:eastAsia="fr-FR"/>
        </w:rPr>
        <w:footnoteReference w:id="52"/>
      </w:r>
      <w:r w:rsidRPr="00396960">
        <w:rPr>
          <w:noProof/>
          <w:lang w:eastAsia="fr-FR"/>
        </w:rPr>
        <w:t xml:space="preserve">. </w:t>
      </w:r>
      <w:r w:rsidR="00C70E93">
        <w:rPr>
          <w:noProof/>
          <w:lang w:eastAsia="fr-FR"/>
        </w:rPr>
        <w:t>According to a survey</w:t>
      </w:r>
      <w:r w:rsidRPr="00396960">
        <w:rPr>
          <w:noProof/>
          <w:lang w:eastAsia="fr-FR"/>
        </w:rPr>
        <w:t xml:space="preserve">, 35% of judges do not agree with the statement that judgments </w:t>
      </w:r>
      <w:r>
        <w:rPr>
          <w:noProof/>
          <w:lang w:eastAsia="fr-FR"/>
        </w:rPr>
        <w:t xml:space="preserve">going </w:t>
      </w:r>
      <w:r w:rsidRPr="00396960">
        <w:rPr>
          <w:noProof/>
          <w:lang w:eastAsia="fr-FR"/>
        </w:rPr>
        <w:t xml:space="preserve">against the interests of the </w:t>
      </w:r>
      <w:r>
        <w:rPr>
          <w:noProof/>
          <w:lang w:eastAsia="fr-FR"/>
        </w:rPr>
        <w:t>G</w:t>
      </w:r>
      <w:r w:rsidRPr="00396960">
        <w:rPr>
          <w:noProof/>
          <w:lang w:eastAsia="fr-FR"/>
        </w:rPr>
        <w:t>overnment are usually executed</w:t>
      </w:r>
      <w:r w:rsidRPr="00396960">
        <w:rPr>
          <w:rStyle w:val="FootnoteReference"/>
          <w:noProof/>
          <w:lang w:eastAsia="fr-FR"/>
        </w:rPr>
        <w:footnoteReference w:id="53"/>
      </w:r>
      <w:r w:rsidRPr="00396960">
        <w:rPr>
          <w:noProof/>
          <w:lang w:eastAsia="fr-FR"/>
        </w:rPr>
        <w:t>.</w:t>
      </w:r>
    </w:p>
    <w:p w14:paraId="15849D2C" w14:textId="602F4227" w:rsidR="0040534C" w:rsidRPr="00E87A0D" w:rsidRDefault="0040534C" w:rsidP="00C2404F">
      <w:pPr>
        <w:pStyle w:val="Heading1"/>
        <w:numPr>
          <w:ilvl w:val="0"/>
          <w:numId w:val="34"/>
        </w:numPr>
        <w:spacing w:before="0"/>
        <w:rPr>
          <w:noProof/>
          <w:u w:val="single"/>
        </w:rPr>
      </w:pPr>
      <w:r w:rsidRPr="00E87A0D">
        <w:rPr>
          <w:noProof/>
          <w:u w:val="single"/>
        </w:rPr>
        <w:t>Anti-Corruption Framework</w:t>
      </w:r>
      <w:r w:rsidRPr="00E87A0D" w:rsidDel="00D67844">
        <w:rPr>
          <w:noProof/>
          <w:u w:val="single"/>
        </w:rPr>
        <w:t xml:space="preserve"> </w:t>
      </w:r>
    </w:p>
    <w:p w14:paraId="1B8E60C0" w14:textId="77777777" w:rsidR="0040534C" w:rsidRPr="0097111C" w:rsidRDefault="0040534C" w:rsidP="0040534C">
      <w:pPr>
        <w:rPr>
          <w:noProof/>
          <w:szCs w:val="24"/>
          <w:lang w:eastAsia="en-GB"/>
        </w:rPr>
      </w:pPr>
      <w:r w:rsidRPr="00906938">
        <w:rPr>
          <w:rFonts w:eastAsia="Calibri"/>
          <w:b/>
          <w:noProof/>
          <w:szCs w:val="24"/>
        </w:rPr>
        <w:t>The</w:t>
      </w:r>
      <w:r w:rsidRPr="00860935">
        <w:rPr>
          <w:rFonts w:eastAsia="Calibri"/>
          <w:b/>
          <w:noProof/>
          <w:szCs w:val="24"/>
        </w:rPr>
        <w:t xml:space="preserve"> perception among experts, citizens and business executives is that the level of corruption in the public sector remains</w:t>
      </w:r>
      <w:r w:rsidRPr="00860935">
        <w:rPr>
          <w:rFonts w:eastAsia="Calibri"/>
          <w:b/>
          <w:noProof/>
          <w:color w:val="00B050"/>
          <w:szCs w:val="24"/>
        </w:rPr>
        <w:t xml:space="preserve"> </w:t>
      </w:r>
      <w:r w:rsidRPr="00860935">
        <w:rPr>
          <w:rFonts w:eastAsia="Calibri"/>
          <w:b/>
          <w:noProof/>
          <w:szCs w:val="24"/>
        </w:rPr>
        <w:t>relatively high.</w:t>
      </w:r>
      <w:r w:rsidRPr="00860935">
        <w:rPr>
          <w:rFonts w:eastAsia="Calibri"/>
          <w:noProof/>
          <w:color w:val="00B050"/>
          <w:szCs w:val="24"/>
        </w:rPr>
        <w:t xml:space="preserve"> </w:t>
      </w:r>
      <w:r w:rsidRPr="00860935">
        <w:rPr>
          <w:rFonts w:eastAsia="Calibri"/>
          <w:noProof/>
          <w:szCs w:val="24"/>
        </w:rPr>
        <w:t>In the 202</w:t>
      </w:r>
      <w:r>
        <w:rPr>
          <w:rFonts w:eastAsia="Calibri"/>
          <w:noProof/>
          <w:szCs w:val="24"/>
        </w:rPr>
        <w:t>5</w:t>
      </w:r>
      <w:r w:rsidRPr="00860935">
        <w:rPr>
          <w:rFonts w:eastAsia="Calibri"/>
          <w:noProof/>
          <w:szCs w:val="24"/>
        </w:rPr>
        <w:t xml:space="preserve"> Corruption Perceptions Index by Transparency International, Cyprus scores 5</w:t>
      </w:r>
      <w:r>
        <w:rPr>
          <w:rFonts w:eastAsia="Calibri"/>
          <w:noProof/>
          <w:szCs w:val="24"/>
        </w:rPr>
        <w:t>5</w:t>
      </w:r>
      <w:r w:rsidRPr="00860935">
        <w:rPr>
          <w:rFonts w:eastAsia="Calibri"/>
          <w:noProof/>
          <w:szCs w:val="24"/>
        </w:rPr>
        <w:t>/100 and ranks 1</w:t>
      </w:r>
      <w:r>
        <w:rPr>
          <w:rFonts w:eastAsia="Calibri"/>
          <w:noProof/>
          <w:szCs w:val="24"/>
        </w:rPr>
        <w:t>7</w:t>
      </w:r>
      <w:r w:rsidRPr="00860935">
        <w:rPr>
          <w:rFonts w:eastAsia="Calibri"/>
          <w:noProof/>
          <w:szCs w:val="24"/>
          <w:vertAlign w:val="superscript"/>
        </w:rPr>
        <w:t>th</w:t>
      </w:r>
      <w:r w:rsidRPr="00860935">
        <w:rPr>
          <w:rFonts w:eastAsia="Calibri"/>
          <w:noProof/>
          <w:szCs w:val="24"/>
        </w:rPr>
        <w:t xml:space="preserve"> in the European Union and 4</w:t>
      </w:r>
      <w:r>
        <w:rPr>
          <w:rFonts w:eastAsia="Calibri"/>
          <w:noProof/>
          <w:szCs w:val="24"/>
        </w:rPr>
        <w:t>9</w:t>
      </w:r>
      <w:r w:rsidRPr="00860935">
        <w:rPr>
          <w:rFonts w:eastAsia="Calibri"/>
          <w:noProof/>
          <w:szCs w:val="24"/>
          <w:vertAlign w:val="superscript"/>
        </w:rPr>
        <w:t>th</w:t>
      </w:r>
      <w:r w:rsidRPr="00860935">
        <w:rPr>
          <w:rFonts w:eastAsia="Calibri"/>
          <w:noProof/>
          <w:szCs w:val="24"/>
        </w:rPr>
        <w:t xml:space="preserve"> globally</w:t>
      </w:r>
      <w:r w:rsidRPr="00860935">
        <w:rPr>
          <w:rFonts w:eastAsia="Calibri"/>
          <w:noProof/>
          <w:szCs w:val="24"/>
          <w:vertAlign w:val="superscript"/>
        </w:rPr>
        <w:footnoteReference w:id="54"/>
      </w:r>
      <w:r w:rsidRPr="00860935">
        <w:rPr>
          <w:rFonts w:eastAsia="Calibri"/>
          <w:noProof/>
          <w:szCs w:val="24"/>
        </w:rPr>
        <w:t>. This perception has been relatively stable over the past five years</w:t>
      </w:r>
      <w:r w:rsidRPr="00860935">
        <w:rPr>
          <w:rFonts w:eastAsia="Calibri"/>
          <w:noProof/>
          <w:szCs w:val="24"/>
          <w:vertAlign w:val="superscript"/>
        </w:rPr>
        <w:footnoteReference w:id="55"/>
      </w:r>
      <w:r w:rsidRPr="00860935">
        <w:rPr>
          <w:rFonts w:eastAsia="Calibri"/>
          <w:noProof/>
          <w:szCs w:val="24"/>
        </w:rPr>
        <w:t>.</w:t>
      </w:r>
      <w:r w:rsidRPr="00860935">
        <w:rPr>
          <w:rFonts w:eastAsia="Calibri"/>
          <w:noProof/>
          <w:color w:val="00B050"/>
          <w:szCs w:val="24"/>
        </w:rPr>
        <w:t xml:space="preserve"> </w:t>
      </w:r>
      <w:r w:rsidRPr="00860935">
        <w:rPr>
          <w:noProof/>
          <w:szCs w:val="24"/>
          <w:lang w:eastAsia="en-GB"/>
        </w:rPr>
        <w:t>The 202</w:t>
      </w:r>
      <w:r>
        <w:rPr>
          <w:noProof/>
          <w:szCs w:val="24"/>
          <w:lang w:eastAsia="en-GB"/>
        </w:rPr>
        <w:t>6</w:t>
      </w:r>
      <w:r w:rsidRPr="00860935">
        <w:rPr>
          <w:noProof/>
          <w:szCs w:val="24"/>
          <w:lang w:eastAsia="en-GB"/>
        </w:rPr>
        <w:t xml:space="preserve"> Special Eurobarometer on Corruption shows that </w:t>
      </w:r>
      <w:bookmarkStart w:id="3" w:name="_Hlk190774684"/>
      <w:r>
        <w:rPr>
          <w:noProof/>
          <w:szCs w:val="24"/>
          <w:lang w:eastAsia="en-GB"/>
        </w:rPr>
        <w:t>95</w:t>
      </w:r>
      <w:r w:rsidRPr="00860935">
        <w:rPr>
          <w:noProof/>
          <w:szCs w:val="24"/>
          <w:lang w:eastAsia="en-GB"/>
        </w:rPr>
        <w:t xml:space="preserve">% </w:t>
      </w:r>
      <w:bookmarkEnd w:id="3"/>
      <w:r w:rsidRPr="00860935">
        <w:rPr>
          <w:noProof/>
          <w:szCs w:val="24"/>
          <w:lang w:eastAsia="en-GB"/>
        </w:rPr>
        <w:t xml:space="preserve">of respondents consider corruption widespread in their country (EU average </w:t>
      </w:r>
      <w:r>
        <w:rPr>
          <w:noProof/>
          <w:szCs w:val="24"/>
          <w:lang w:eastAsia="en-GB"/>
        </w:rPr>
        <w:t>71</w:t>
      </w:r>
      <w:r w:rsidRPr="00860935">
        <w:rPr>
          <w:noProof/>
          <w:szCs w:val="24"/>
          <w:lang w:eastAsia="en-GB"/>
        </w:rPr>
        <w:t xml:space="preserve">%) and </w:t>
      </w:r>
      <w:r>
        <w:rPr>
          <w:noProof/>
          <w:szCs w:val="24"/>
          <w:lang w:eastAsia="en-GB"/>
        </w:rPr>
        <w:t>67</w:t>
      </w:r>
      <w:r w:rsidRPr="00860935">
        <w:rPr>
          <w:noProof/>
          <w:szCs w:val="24"/>
          <w:lang w:eastAsia="en-GB"/>
        </w:rPr>
        <w:t xml:space="preserve">% of respondents feel personally affected by corruption in their daily lives (EU average 30%). As regards businesses, </w:t>
      </w:r>
      <w:r>
        <w:rPr>
          <w:noProof/>
          <w:szCs w:val="24"/>
          <w:lang w:eastAsia="en-GB"/>
        </w:rPr>
        <w:t>98</w:t>
      </w:r>
      <w:r w:rsidRPr="00860935">
        <w:rPr>
          <w:noProof/>
          <w:szCs w:val="24"/>
          <w:lang w:eastAsia="en-GB"/>
        </w:rPr>
        <w:t>% of companies consider that corruption is widespread (EU average 6</w:t>
      </w:r>
      <w:r>
        <w:rPr>
          <w:noProof/>
          <w:szCs w:val="24"/>
          <w:lang w:eastAsia="en-GB"/>
        </w:rPr>
        <w:t>5</w:t>
      </w:r>
      <w:r w:rsidRPr="00860935">
        <w:rPr>
          <w:noProof/>
          <w:szCs w:val="24"/>
          <w:lang w:eastAsia="en-GB"/>
        </w:rPr>
        <w:t xml:space="preserve">%) and </w:t>
      </w:r>
      <w:r>
        <w:rPr>
          <w:noProof/>
          <w:szCs w:val="24"/>
          <w:lang w:eastAsia="en-GB"/>
        </w:rPr>
        <w:t>46</w:t>
      </w:r>
      <w:r w:rsidRPr="00860935">
        <w:rPr>
          <w:noProof/>
          <w:szCs w:val="24"/>
          <w:lang w:eastAsia="en-GB"/>
        </w:rPr>
        <w:t xml:space="preserve">% consider that corruption is a problem when doing business (EU average </w:t>
      </w:r>
      <w:r>
        <w:rPr>
          <w:noProof/>
          <w:szCs w:val="24"/>
          <w:lang w:eastAsia="en-GB"/>
        </w:rPr>
        <w:t>37</w:t>
      </w:r>
      <w:r w:rsidRPr="00860935">
        <w:rPr>
          <w:noProof/>
          <w:szCs w:val="24"/>
          <w:lang w:eastAsia="en-GB"/>
        </w:rPr>
        <w:t>%)</w:t>
      </w:r>
      <w:r w:rsidRPr="00860935">
        <w:rPr>
          <w:noProof/>
          <w:szCs w:val="24"/>
          <w:vertAlign w:val="superscript"/>
          <w:lang w:eastAsia="en-GB"/>
        </w:rPr>
        <w:t>.</w:t>
      </w:r>
      <w:r w:rsidRPr="00860935">
        <w:rPr>
          <w:noProof/>
          <w:szCs w:val="24"/>
          <w:lang w:eastAsia="en-GB"/>
        </w:rPr>
        <w:t xml:space="preserve"> Furthermore, </w:t>
      </w:r>
      <w:r>
        <w:rPr>
          <w:noProof/>
          <w:szCs w:val="24"/>
          <w:lang w:eastAsia="en-GB"/>
        </w:rPr>
        <w:t>19</w:t>
      </w:r>
      <w:r w:rsidRPr="00860935">
        <w:rPr>
          <w:noProof/>
          <w:szCs w:val="24"/>
          <w:lang w:eastAsia="en-GB"/>
        </w:rPr>
        <w:t>% of respondents</w:t>
      </w:r>
      <w:r w:rsidRPr="00860935">
        <w:rPr>
          <w:b/>
          <w:noProof/>
          <w:szCs w:val="24"/>
          <w:lang w:eastAsia="en-GB"/>
        </w:rPr>
        <w:t xml:space="preserve"> </w:t>
      </w:r>
      <w:r w:rsidRPr="00860935">
        <w:rPr>
          <w:noProof/>
          <w:szCs w:val="24"/>
          <w:lang w:eastAsia="en-GB"/>
        </w:rPr>
        <w:t xml:space="preserve">find that there are enough successful prosecutions to deter people from corrupt practices (EU average </w:t>
      </w:r>
      <w:r>
        <w:rPr>
          <w:noProof/>
          <w:szCs w:val="24"/>
          <w:lang w:eastAsia="en-GB"/>
        </w:rPr>
        <w:t>38</w:t>
      </w:r>
      <w:r w:rsidRPr="00860935">
        <w:rPr>
          <w:noProof/>
          <w:szCs w:val="24"/>
          <w:lang w:eastAsia="en-GB"/>
        </w:rPr>
        <w:t xml:space="preserve">%), while </w:t>
      </w:r>
      <w:r>
        <w:rPr>
          <w:noProof/>
          <w:szCs w:val="24"/>
          <w:lang w:eastAsia="en-GB"/>
        </w:rPr>
        <w:t>14</w:t>
      </w:r>
      <w:r w:rsidRPr="00860935">
        <w:rPr>
          <w:noProof/>
          <w:szCs w:val="24"/>
          <w:lang w:eastAsia="en-GB"/>
        </w:rPr>
        <w:t xml:space="preserve">% of companies believe that people and businesses caught for bribing a senior official are appropriately punished (EU average </w:t>
      </w:r>
      <w:r>
        <w:rPr>
          <w:noProof/>
          <w:szCs w:val="24"/>
          <w:lang w:eastAsia="en-GB"/>
        </w:rPr>
        <w:t>31</w:t>
      </w:r>
      <w:r w:rsidRPr="00860935">
        <w:rPr>
          <w:noProof/>
          <w:szCs w:val="24"/>
          <w:lang w:eastAsia="en-GB"/>
        </w:rPr>
        <w:t>%)</w:t>
      </w:r>
      <w:r w:rsidRPr="00860935">
        <w:rPr>
          <w:noProof/>
          <w:szCs w:val="24"/>
          <w:vertAlign w:val="superscript"/>
          <w:lang w:eastAsia="en-GB"/>
        </w:rPr>
        <w:footnoteReference w:id="56"/>
      </w:r>
      <w:r w:rsidRPr="00860935">
        <w:rPr>
          <w:noProof/>
          <w:szCs w:val="24"/>
          <w:lang w:eastAsia="en-GB"/>
        </w:rPr>
        <w:t>.</w:t>
      </w:r>
      <w:r>
        <w:rPr>
          <w:noProof/>
          <w:szCs w:val="24"/>
          <w:lang w:eastAsia="en-GB"/>
        </w:rPr>
        <w:t xml:space="preserve"> </w:t>
      </w:r>
    </w:p>
    <w:p w14:paraId="40226F54" w14:textId="356820C3" w:rsidR="0040534C" w:rsidRPr="00EB21DA" w:rsidRDefault="0040534C" w:rsidP="0040534C">
      <w:pPr>
        <w:rPr>
          <w:noProof/>
        </w:rPr>
      </w:pPr>
      <w:bookmarkStart w:id="4" w:name="_Hlk220920810"/>
      <w:bookmarkStart w:id="5" w:name="_Hlk219209662"/>
      <w:bookmarkStart w:id="6" w:name="_Hlk221004519"/>
      <w:r w:rsidRPr="030A0BF0">
        <w:rPr>
          <w:rFonts w:eastAsia="Calibri"/>
          <w:b/>
          <w:bCs/>
          <w:noProof/>
        </w:rPr>
        <w:t xml:space="preserve">Significant </w:t>
      </w:r>
      <w:bookmarkStart w:id="7" w:name="_Hlk221196667"/>
      <w:r w:rsidRPr="030A0BF0">
        <w:rPr>
          <w:rFonts w:eastAsia="Calibri"/>
          <w:b/>
          <w:bCs/>
          <w:noProof/>
        </w:rPr>
        <w:t xml:space="preserve">progress was made on the recommendation to strengthen the </w:t>
      </w:r>
      <w:bookmarkStart w:id="8" w:name="_Hlk220346027"/>
      <w:r w:rsidRPr="030A0BF0">
        <w:rPr>
          <w:rFonts w:eastAsia="Calibri"/>
          <w:b/>
          <w:bCs/>
          <w:noProof/>
        </w:rPr>
        <w:t>Independent Authority against Corruption</w:t>
      </w:r>
      <w:bookmarkEnd w:id="8"/>
      <w:r w:rsidRPr="030A0BF0">
        <w:rPr>
          <w:rFonts w:eastAsia="Calibri"/>
          <w:b/>
          <w:bCs/>
          <w:noProof/>
        </w:rPr>
        <w:t xml:space="preserve"> (IAAC) through new legislation </w:t>
      </w:r>
      <w:r w:rsidR="00450185" w:rsidRPr="030A0BF0">
        <w:rPr>
          <w:b/>
          <w:bCs/>
          <w:noProof/>
        </w:rPr>
        <w:t>on recruitments</w:t>
      </w:r>
      <w:bookmarkEnd w:id="4"/>
      <w:bookmarkEnd w:id="5"/>
      <w:bookmarkEnd w:id="7"/>
      <w:r w:rsidRPr="030A0BF0">
        <w:rPr>
          <w:rFonts w:eastAsia="Calibri"/>
          <w:b/>
          <w:bCs/>
          <w:noProof/>
          <w:vertAlign w:val="superscript"/>
        </w:rPr>
        <w:footnoteReference w:id="57"/>
      </w:r>
      <w:r w:rsidRPr="030A0BF0">
        <w:rPr>
          <w:rFonts w:eastAsia="Calibri"/>
          <w:b/>
          <w:bCs/>
          <w:noProof/>
        </w:rPr>
        <w:t>.</w:t>
      </w:r>
      <w:r w:rsidRPr="78D9F4B8">
        <w:rPr>
          <w:rFonts w:eastAsia="Calibri"/>
          <w:noProof/>
        </w:rPr>
        <w:t xml:space="preserve"> </w:t>
      </w:r>
      <w:bookmarkStart w:id="9" w:name="_Hlk220920844"/>
      <w:r w:rsidRPr="78D9F4B8">
        <w:rPr>
          <w:rFonts w:eastAsia="Calibri"/>
          <w:noProof/>
        </w:rPr>
        <w:t>The IAAC’s staff continued to increase over the past year from 18 to 22</w:t>
      </w:r>
      <w:r w:rsidRPr="78D9F4B8">
        <w:rPr>
          <w:rFonts w:eastAsia="Calibri"/>
          <w:noProof/>
          <w:vertAlign w:val="superscript"/>
        </w:rPr>
        <w:footnoteReference w:id="58"/>
      </w:r>
      <w:r>
        <w:rPr>
          <w:rFonts w:eastAsia="Calibri"/>
          <w:noProof/>
        </w:rPr>
        <w:t>,</w:t>
      </w:r>
      <w:r w:rsidRPr="78D9F4B8">
        <w:rPr>
          <w:rFonts w:eastAsia="Calibri"/>
          <w:noProof/>
        </w:rPr>
        <w:t xml:space="preserve"> while the complaints receive</w:t>
      </w:r>
      <w:r>
        <w:rPr>
          <w:rFonts w:eastAsia="Calibri"/>
          <w:noProof/>
        </w:rPr>
        <w:t>d</w:t>
      </w:r>
      <w:r w:rsidRPr="78D9F4B8">
        <w:rPr>
          <w:rFonts w:eastAsia="Calibri"/>
          <w:noProof/>
        </w:rPr>
        <w:t xml:space="preserve"> and the number of tasks related to the lobbying register and </w:t>
      </w:r>
      <w:r>
        <w:rPr>
          <w:rFonts w:eastAsia="Calibri"/>
          <w:noProof/>
        </w:rPr>
        <w:t>the</w:t>
      </w:r>
      <w:r w:rsidRPr="78D9F4B8">
        <w:rPr>
          <w:rFonts w:eastAsia="Calibri"/>
          <w:noProof/>
        </w:rPr>
        <w:t xml:space="preserve"> Anti-Corruption Action Plan</w:t>
      </w:r>
      <w:r>
        <w:rPr>
          <w:rFonts w:eastAsia="Calibri"/>
          <w:noProof/>
        </w:rPr>
        <w:t xml:space="preserve"> </w:t>
      </w:r>
      <w:r w:rsidRPr="78D9F4B8">
        <w:rPr>
          <w:rFonts w:eastAsia="Calibri"/>
          <w:noProof/>
        </w:rPr>
        <w:t xml:space="preserve">are </w:t>
      </w:r>
      <w:r w:rsidRPr="0019242B">
        <w:rPr>
          <w:rFonts w:eastAsia="Calibri"/>
          <w:noProof/>
        </w:rPr>
        <w:t>rising</w:t>
      </w:r>
      <w:r w:rsidRPr="0019242B">
        <w:rPr>
          <w:rFonts w:eastAsia="Calibri"/>
          <w:noProof/>
          <w:vertAlign w:val="superscript"/>
        </w:rPr>
        <w:footnoteReference w:id="59"/>
      </w:r>
      <w:r w:rsidRPr="0019242B">
        <w:rPr>
          <w:rFonts w:eastAsia="Calibri"/>
          <w:noProof/>
        </w:rPr>
        <w:t>.</w:t>
      </w:r>
      <w:r w:rsidRPr="78D9F4B8">
        <w:rPr>
          <w:rFonts w:eastAsia="Calibri"/>
          <w:noProof/>
        </w:rPr>
        <w:t xml:space="preserve"> In </w:t>
      </w:r>
      <w:r>
        <w:rPr>
          <w:rFonts w:eastAsia="Calibri"/>
          <w:noProof/>
        </w:rPr>
        <w:t>October</w:t>
      </w:r>
      <w:r w:rsidRPr="78D9F4B8">
        <w:rPr>
          <w:rFonts w:eastAsia="Calibri"/>
          <w:noProof/>
        </w:rPr>
        <w:t xml:space="preserve"> 2025,</w:t>
      </w:r>
      <w:r>
        <w:rPr>
          <w:rFonts w:eastAsia="Calibri"/>
          <w:noProof/>
        </w:rPr>
        <w:t xml:space="preserve"> the Parliament adopted</w:t>
      </w:r>
      <w:r w:rsidRPr="78D9F4B8">
        <w:rPr>
          <w:rFonts w:eastAsia="Calibri"/>
          <w:noProof/>
        </w:rPr>
        <w:t xml:space="preserve"> </w:t>
      </w:r>
      <w:r>
        <w:rPr>
          <w:rFonts w:eastAsia="Calibri"/>
          <w:noProof/>
        </w:rPr>
        <w:t>a law</w:t>
      </w:r>
      <w:r w:rsidRPr="78D9F4B8">
        <w:rPr>
          <w:rFonts w:eastAsia="Calibri"/>
          <w:noProof/>
          <w:vertAlign w:val="superscript"/>
        </w:rPr>
        <w:footnoteReference w:id="60"/>
      </w:r>
      <w:r w:rsidRPr="78D9F4B8">
        <w:rPr>
          <w:rFonts w:eastAsia="Calibri"/>
          <w:noProof/>
        </w:rPr>
        <w:t xml:space="preserve"> that </w:t>
      </w:r>
      <w:r w:rsidR="00705005" w:rsidRPr="030A0BF0">
        <w:rPr>
          <w:rFonts w:eastAsia="Calibri"/>
          <w:noProof/>
        </w:rPr>
        <w:t xml:space="preserve">enables permanent staff appointed under public service laws to be assigned to IAAC. The law also affords the IAAC greater involvement in the process of appointment of its own permanent staff. </w:t>
      </w:r>
      <w:r w:rsidR="00705005">
        <w:rPr>
          <w:noProof/>
        </w:rPr>
        <w:t>Specifically, it has the authority to evaluate candidates and recommend a shortlist for final selection by the Civil Service Commission.</w:t>
      </w:r>
      <w:r w:rsidRPr="78D9F4B8">
        <w:rPr>
          <w:rFonts w:eastAsia="Calibri"/>
          <w:noProof/>
        </w:rPr>
        <w:t xml:space="preserve"> </w:t>
      </w:r>
      <w:bookmarkEnd w:id="9"/>
      <w:r>
        <w:rPr>
          <w:rFonts w:eastAsia="Calibri"/>
          <w:noProof/>
        </w:rPr>
        <w:t>Further</w:t>
      </w:r>
      <w:r w:rsidRPr="00B075B8">
        <w:rPr>
          <w:rFonts w:eastAsia="Calibri"/>
          <w:noProof/>
        </w:rPr>
        <w:t xml:space="preserve"> administrative steps</w:t>
      </w:r>
      <w:r>
        <w:rPr>
          <w:rFonts w:eastAsia="Calibri"/>
          <w:noProof/>
        </w:rPr>
        <w:t xml:space="preserve"> are required</w:t>
      </w:r>
      <w:r w:rsidRPr="00B075B8">
        <w:rPr>
          <w:rFonts w:eastAsia="Calibri"/>
          <w:noProof/>
        </w:rPr>
        <w:t xml:space="preserve"> so that </w:t>
      </w:r>
      <w:r>
        <w:rPr>
          <w:rFonts w:eastAsia="Calibri"/>
          <w:noProof/>
        </w:rPr>
        <w:t xml:space="preserve">the </w:t>
      </w:r>
      <w:r w:rsidRPr="00B075B8">
        <w:rPr>
          <w:rFonts w:eastAsia="Calibri"/>
          <w:noProof/>
        </w:rPr>
        <w:t>IAAC can recruit permanent staff</w:t>
      </w:r>
      <w:r w:rsidRPr="0AA0A770">
        <w:rPr>
          <w:noProof/>
          <w:vertAlign w:val="superscript"/>
        </w:rPr>
        <w:footnoteReference w:id="61"/>
      </w:r>
      <w:r>
        <w:rPr>
          <w:rFonts w:eastAsia="Calibri"/>
          <w:noProof/>
        </w:rPr>
        <w:t>.</w:t>
      </w:r>
      <w:r>
        <w:rPr>
          <w:noProof/>
        </w:rPr>
        <w:t xml:space="preserve"> </w:t>
      </w:r>
      <w:r w:rsidRPr="78D9F4B8">
        <w:rPr>
          <w:noProof/>
        </w:rPr>
        <w:t xml:space="preserve">Once </w:t>
      </w:r>
      <w:r>
        <w:rPr>
          <w:noProof/>
        </w:rPr>
        <w:t xml:space="preserve">completed, this reform is expected to </w:t>
      </w:r>
      <w:r w:rsidRPr="78D9F4B8">
        <w:rPr>
          <w:noProof/>
        </w:rPr>
        <w:t>reinforce</w:t>
      </w:r>
      <w:r>
        <w:rPr>
          <w:noProof/>
        </w:rPr>
        <w:t xml:space="preserve"> the </w:t>
      </w:r>
      <w:r w:rsidRPr="78D9F4B8">
        <w:rPr>
          <w:noProof/>
        </w:rPr>
        <w:t>IAAC’</w:t>
      </w:r>
      <w:r>
        <w:rPr>
          <w:noProof/>
        </w:rPr>
        <w:t>s</w:t>
      </w:r>
      <w:r w:rsidRPr="78D9F4B8">
        <w:rPr>
          <w:noProof/>
        </w:rPr>
        <w:t xml:space="preserve"> stability and operational independence</w:t>
      </w:r>
      <w:bookmarkStart w:id="10" w:name="_Hlk220427303"/>
      <w:r w:rsidRPr="78D9F4B8">
        <w:rPr>
          <w:noProof/>
        </w:rPr>
        <w:t>.</w:t>
      </w:r>
      <w:bookmarkStart w:id="11" w:name="_Hlk222156251"/>
      <w:bookmarkStart w:id="12" w:name="_Hlk220920934"/>
      <w:bookmarkEnd w:id="10"/>
      <w:r w:rsidRPr="78D9F4B8">
        <w:rPr>
          <w:noProof/>
        </w:rPr>
        <w:t xml:space="preserve"> </w:t>
      </w:r>
      <w:r>
        <w:rPr>
          <w:noProof/>
        </w:rPr>
        <w:t>Furthermore, in March 2026, Parliament enacted two laws under which the IAAC is now required to formally notify the Tax Commissioner whenever it identifies the involvement of a public official or civil servant in a suspected corruption offence</w:t>
      </w:r>
      <w:r w:rsidRPr="00D13E37">
        <w:rPr>
          <w:rStyle w:val="FootnoteReference"/>
          <w:noProof/>
        </w:rPr>
        <w:footnoteReference w:id="62"/>
      </w:r>
      <w:r>
        <w:rPr>
          <w:noProof/>
        </w:rPr>
        <w:t xml:space="preserve">. </w:t>
      </w:r>
      <w:r w:rsidR="0036479A">
        <w:rPr>
          <w:noProof/>
        </w:rPr>
        <w:t xml:space="preserve">Civil society acknowledges </w:t>
      </w:r>
      <w:r>
        <w:rPr>
          <w:noProof/>
        </w:rPr>
        <w:t>that the new legislation adopted in October 2025 resolved prior concerns regarding IAAC’s institutional stability</w:t>
      </w:r>
      <w:r w:rsidR="00F95CBA">
        <w:rPr>
          <w:rStyle w:val="FootnoteReference"/>
          <w:noProof/>
        </w:rPr>
        <w:footnoteReference w:id="63"/>
      </w:r>
      <w:r w:rsidR="00D55E30">
        <w:rPr>
          <w:noProof/>
        </w:rPr>
        <w:t xml:space="preserve">. In June 2026, after concluding its investigation on a high-level investigation, involving political persons and public </w:t>
      </w:r>
      <w:r w:rsidR="00CD438B">
        <w:rPr>
          <w:noProof/>
        </w:rPr>
        <w:t>officials</w:t>
      </w:r>
      <w:r w:rsidR="00CD438B">
        <w:rPr>
          <w:rStyle w:val="FootnoteReference"/>
          <w:noProof/>
        </w:rPr>
        <w:footnoteReference w:id="64"/>
      </w:r>
      <w:r w:rsidR="00CD438B">
        <w:rPr>
          <w:noProof/>
        </w:rPr>
        <w:t xml:space="preserve">, the </w:t>
      </w:r>
      <w:r w:rsidR="00D55E30">
        <w:rPr>
          <w:noProof/>
        </w:rPr>
        <w:t xml:space="preserve">IAAC issued a statement regarding selective elements of its findings, which has fuelled calls to strengthen the IAAC’s mandate </w:t>
      </w:r>
      <w:r w:rsidR="001140DB">
        <w:rPr>
          <w:noProof/>
        </w:rPr>
        <w:t>and effectiveness</w:t>
      </w:r>
      <w:r w:rsidR="001D7135">
        <w:rPr>
          <w:rStyle w:val="FootnoteReference"/>
          <w:noProof/>
        </w:rPr>
        <w:footnoteReference w:id="65"/>
      </w:r>
      <w:r w:rsidR="004E443E">
        <w:rPr>
          <w:noProof/>
        </w:rPr>
        <w:t>.</w:t>
      </w:r>
      <w:r>
        <w:rPr>
          <w:noProof/>
        </w:rPr>
        <w:t xml:space="preserve"> </w:t>
      </w:r>
      <w:r w:rsidR="00B21605">
        <w:rPr>
          <w:noProof/>
        </w:rPr>
        <w:t>C</w:t>
      </w:r>
      <w:r w:rsidRPr="00D13E37">
        <w:rPr>
          <w:noProof/>
        </w:rPr>
        <w:t>ivil</w:t>
      </w:r>
      <w:r w:rsidRPr="78D9F4B8">
        <w:rPr>
          <w:noProof/>
        </w:rPr>
        <w:t xml:space="preserve"> society highlights</w:t>
      </w:r>
      <w:r w:rsidRPr="78D9F4B8">
        <w:rPr>
          <w:rFonts w:eastAsia="Calibri"/>
          <w:noProof/>
        </w:rPr>
        <w:t xml:space="preserve"> that</w:t>
      </w:r>
      <w:r>
        <w:rPr>
          <w:rFonts w:eastAsia="Calibri"/>
          <w:noProof/>
        </w:rPr>
        <w:t xml:space="preserve"> the </w:t>
      </w:r>
      <w:r w:rsidRPr="78D9F4B8">
        <w:rPr>
          <w:noProof/>
        </w:rPr>
        <w:t>IAAC’s effectiveness and independence remain constrained as it lacks prosecution powers</w:t>
      </w:r>
      <w:r w:rsidRPr="0AA0A770">
        <w:rPr>
          <w:rStyle w:val="FootnoteReference"/>
          <w:noProof/>
        </w:rPr>
        <w:footnoteReference w:id="66"/>
      </w:r>
      <w:r w:rsidRPr="78D9F4B8">
        <w:rPr>
          <w:noProof/>
        </w:rPr>
        <w:t xml:space="preserve"> and must refer cases to the Attorney General</w:t>
      </w:r>
      <w:r>
        <w:rPr>
          <w:noProof/>
        </w:rPr>
        <w:t>,</w:t>
      </w:r>
      <w:r w:rsidRPr="78D9F4B8">
        <w:rPr>
          <w:noProof/>
        </w:rPr>
        <w:t xml:space="preserve"> whose decisions </w:t>
      </w:r>
      <w:r>
        <w:rPr>
          <w:noProof/>
        </w:rPr>
        <w:t xml:space="preserve">not </w:t>
      </w:r>
      <w:r w:rsidRPr="78D9F4B8">
        <w:rPr>
          <w:noProof/>
        </w:rPr>
        <w:t xml:space="preserve">to prosecute or </w:t>
      </w:r>
      <w:r>
        <w:rPr>
          <w:noProof/>
        </w:rPr>
        <w:t xml:space="preserve">to discontinue </w:t>
      </w:r>
      <w:r w:rsidRPr="78D9F4B8">
        <w:rPr>
          <w:noProof/>
        </w:rPr>
        <w:t>proceedings are no</w:t>
      </w:r>
      <w:r>
        <w:rPr>
          <w:noProof/>
        </w:rPr>
        <w:t xml:space="preserve">t </w:t>
      </w:r>
      <w:r w:rsidRPr="78D9F4B8">
        <w:rPr>
          <w:noProof/>
        </w:rPr>
        <w:t>subject to review under the current legal framework</w:t>
      </w:r>
      <w:r w:rsidRPr="0AA0A770">
        <w:rPr>
          <w:noProof/>
          <w:vertAlign w:val="superscript"/>
        </w:rPr>
        <w:footnoteReference w:id="67"/>
      </w:r>
      <w:bookmarkEnd w:id="11"/>
      <w:r>
        <w:rPr>
          <w:noProof/>
        </w:rPr>
        <w:t xml:space="preserve">. </w:t>
      </w:r>
      <w:bookmarkEnd w:id="12"/>
      <w:r w:rsidR="00BC0D5D">
        <w:rPr>
          <w:noProof/>
        </w:rPr>
        <w:t xml:space="preserve">Following the statement by the IAAC, </w:t>
      </w:r>
      <w:r w:rsidR="001B1F5D">
        <w:rPr>
          <w:noProof/>
        </w:rPr>
        <w:t>three</w:t>
      </w:r>
      <w:r w:rsidR="00B01E27">
        <w:rPr>
          <w:noProof/>
        </w:rPr>
        <w:t xml:space="preserve"> </w:t>
      </w:r>
      <w:r w:rsidR="00BC0D5D" w:rsidRPr="030A0BF0">
        <w:rPr>
          <w:rFonts w:eastAsia="Calibri"/>
          <w:noProof/>
          <w:color w:val="000000" w:themeColor="text1"/>
          <w:lang w:bidi="en-US"/>
        </w:rPr>
        <w:t>law proposals were tabled</w:t>
      </w:r>
      <w:r w:rsidR="00BC0D5D" w:rsidRPr="030A0BF0">
        <w:rPr>
          <w:rFonts w:ascii="Roboto" w:hAnsi="Roboto"/>
          <w:noProof/>
          <w:color w:val="181818"/>
          <w:sz w:val="29"/>
          <w:szCs w:val="29"/>
        </w:rPr>
        <w:t xml:space="preserve"> </w:t>
      </w:r>
      <w:r w:rsidR="00BC0D5D" w:rsidRPr="030A0BF0">
        <w:rPr>
          <w:rFonts w:eastAsia="Calibri"/>
          <w:noProof/>
          <w:color w:val="000000" w:themeColor="text1"/>
          <w:lang w:bidi="en-US"/>
        </w:rPr>
        <w:t>to further reform the Authority and strengthen its investigative powers</w:t>
      </w:r>
      <w:r w:rsidR="00BC0D5D" w:rsidRPr="5C976A50">
        <w:rPr>
          <w:rStyle w:val="FootnoteReference"/>
          <w:rFonts w:eastAsia="Calibri"/>
          <w:noProof/>
          <w:color w:val="000000"/>
          <w:lang w:bidi="en-US"/>
          <w14:ligatures w14:val="standardContextual"/>
        </w:rPr>
        <w:footnoteReference w:id="68"/>
      </w:r>
      <w:r w:rsidR="00BC0D5D" w:rsidRPr="030A0BF0">
        <w:rPr>
          <w:rFonts w:eastAsia="Calibri"/>
          <w:noProof/>
          <w:color w:val="000000" w:themeColor="text1"/>
          <w:lang w:bidi="en-US"/>
        </w:rPr>
        <w:t xml:space="preserve">. </w:t>
      </w:r>
      <w:r>
        <w:rPr>
          <w:rFonts w:eastAsia="Calibri"/>
          <w:noProof/>
        </w:rPr>
        <w:t>In view of the adopted legislation, t</w:t>
      </w:r>
      <w:r w:rsidRPr="78D9F4B8">
        <w:rPr>
          <w:rFonts w:eastAsia="Calibri"/>
          <w:noProof/>
        </w:rPr>
        <w:t>here has therefore been significant progress on the implementation of the recommendations made in previous reports</w:t>
      </w:r>
      <w:r w:rsidRPr="78D9F4B8">
        <w:rPr>
          <w:noProof/>
        </w:rPr>
        <w:t xml:space="preserve">. </w:t>
      </w:r>
    </w:p>
    <w:p w14:paraId="0415D198" w14:textId="45D032AE" w:rsidR="0040534C" w:rsidRPr="0097111C" w:rsidRDefault="0040534C" w:rsidP="0040534C">
      <w:pPr>
        <w:widowControl w:val="0"/>
        <w:rPr>
          <w:rFonts w:eastAsia="Calibri"/>
          <w:bCs/>
          <w:noProof/>
          <w:color w:val="000000"/>
          <w:szCs w:val="24"/>
          <w:lang w:bidi="en-US"/>
          <w14:ligatures w14:val="standardContextual"/>
        </w:rPr>
      </w:pPr>
      <w:bookmarkStart w:id="13" w:name="_Hlk221554997"/>
      <w:bookmarkEnd w:id="6"/>
      <w:r w:rsidRPr="77802561">
        <w:rPr>
          <w:rFonts w:eastAsia="Calibri"/>
          <w:b/>
          <w:bCs/>
          <w:noProof/>
          <w:color w:val="000000"/>
          <w:lang w:bidi="en-US"/>
          <w14:ligatures w14:val="standardContextual"/>
        </w:rPr>
        <w:t xml:space="preserve">The </w:t>
      </w:r>
      <w:r w:rsidRPr="77802561">
        <w:rPr>
          <w:rFonts w:eastAsia="Calibri"/>
          <w:b/>
          <w:bCs/>
          <w:noProof/>
        </w:rPr>
        <w:t>Independent Authority against Corruption</w:t>
      </w:r>
      <w:r w:rsidRPr="77802561">
        <w:rPr>
          <w:rFonts w:eastAsia="Calibri"/>
          <w:b/>
          <w:bCs/>
          <w:noProof/>
          <w:color w:val="000000" w:themeColor="text1"/>
          <w:lang w:bidi="en-US"/>
        </w:rPr>
        <w:t xml:space="preserve"> (</w:t>
      </w:r>
      <w:r w:rsidRPr="77802561">
        <w:rPr>
          <w:rFonts w:eastAsia="Calibri"/>
          <w:b/>
          <w:bCs/>
          <w:noProof/>
          <w:color w:val="000000"/>
          <w:lang w:bidi="en-US"/>
          <w14:ligatures w14:val="standardContextual"/>
        </w:rPr>
        <w:t>IAAC</w:t>
      </w:r>
      <w:r w:rsidRPr="77802561">
        <w:rPr>
          <w:rFonts w:eastAsia="Calibri"/>
          <w:b/>
          <w:bCs/>
          <w:noProof/>
          <w:color w:val="000000" w:themeColor="text1"/>
          <w:lang w:bidi="en-US"/>
        </w:rPr>
        <w:t>)</w:t>
      </w:r>
      <w:r w:rsidRPr="77802561">
        <w:rPr>
          <w:rFonts w:eastAsia="Calibri"/>
          <w:b/>
          <w:bCs/>
          <w:noProof/>
          <w:color w:val="000000"/>
          <w:lang w:bidi="en-US"/>
          <w14:ligatures w14:val="standardContextual"/>
        </w:rPr>
        <w:t xml:space="preserve"> is progressing on the implementation of the Anti-Corruption Action Plan</w:t>
      </w:r>
      <w:bookmarkEnd w:id="13"/>
      <w:r w:rsidRPr="008832A7">
        <w:rPr>
          <w:rFonts w:eastAsia="Calibri"/>
          <w:b/>
          <w:bCs/>
          <w:noProof/>
          <w:color w:val="000000"/>
          <w:lang w:bidi="en-US"/>
          <w14:ligatures w14:val="standardContextual"/>
        </w:rPr>
        <w:t>.</w:t>
      </w:r>
      <w:r w:rsidRPr="008832A7">
        <w:rPr>
          <w:rFonts w:eastAsia="Calibri"/>
          <w:noProof/>
          <w:color w:val="000000"/>
          <w:lang w:bidi="en-US"/>
          <w14:ligatures w14:val="standardContextual"/>
        </w:rPr>
        <w:t xml:space="preserve"> </w:t>
      </w:r>
      <w:r w:rsidRPr="008832A7">
        <w:rPr>
          <w:rFonts w:eastAsia="Calibri"/>
          <w:noProof/>
          <w:color w:val="000000"/>
          <w:szCs w:val="24"/>
          <w:lang w:bidi="en-US"/>
          <w14:ligatures w14:val="standardContextual"/>
        </w:rPr>
        <w:t>As</w:t>
      </w:r>
      <w:r w:rsidRPr="00865169">
        <w:rPr>
          <w:rFonts w:eastAsia="Calibri"/>
          <w:noProof/>
          <w:color w:val="000000"/>
          <w:szCs w:val="24"/>
          <w:lang w:bidi="en-US"/>
          <w14:ligatures w14:val="standardContextual"/>
        </w:rPr>
        <w:t xml:space="preserve"> part of </w:t>
      </w:r>
      <w:r>
        <w:rPr>
          <w:rFonts w:eastAsia="Calibri"/>
          <w:noProof/>
          <w:color w:val="000000"/>
          <w:szCs w:val="24"/>
          <w:lang w:bidi="en-US"/>
          <w14:ligatures w14:val="standardContextual"/>
        </w:rPr>
        <w:t xml:space="preserve">its </w:t>
      </w:r>
      <w:r w:rsidRPr="00865169">
        <w:rPr>
          <w:rFonts w:eastAsia="Calibri"/>
          <w:noProof/>
          <w:color w:val="000000"/>
          <w:szCs w:val="24"/>
          <w:lang w:bidi="en-US"/>
          <w14:ligatures w14:val="standardContextual"/>
        </w:rPr>
        <w:t xml:space="preserve">Action Plan, </w:t>
      </w:r>
      <w:r>
        <w:rPr>
          <w:rFonts w:eastAsia="Calibri"/>
          <w:noProof/>
          <w:color w:val="000000"/>
          <w:lang w:bidi="en-US"/>
          <w14:ligatures w14:val="standardContextual"/>
        </w:rPr>
        <w:t>a</w:t>
      </w:r>
      <w:r w:rsidRPr="77802561">
        <w:rPr>
          <w:rFonts w:eastAsia="Calibri"/>
          <w:noProof/>
          <w:color w:val="000000"/>
          <w:lang w:bidi="en-US"/>
          <w14:ligatures w14:val="standardContextual"/>
        </w:rPr>
        <w:t xml:space="preserve"> project to develop sectoral anti-corruption strategies is in its initial stage</w:t>
      </w:r>
      <w:r w:rsidRPr="77802561">
        <w:rPr>
          <w:rFonts w:eastAsia="Calibri"/>
          <w:noProof/>
          <w:color w:val="000000"/>
          <w:vertAlign w:val="superscript"/>
          <w:lang w:bidi="en-US"/>
          <w14:ligatures w14:val="standardContextual"/>
        </w:rPr>
        <w:footnoteReference w:id="69"/>
      </w:r>
      <w:r w:rsidRPr="77802561">
        <w:rPr>
          <w:rFonts w:eastAsia="Calibri"/>
          <w:noProof/>
          <w:color w:val="000000"/>
          <w:lang w:bidi="en-US"/>
          <w14:ligatures w14:val="standardContextual"/>
        </w:rPr>
        <w:t xml:space="preserve">. </w:t>
      </w:r>
      <w:r w:rsidRPr="00130E07">
        <w:rPr>
          <w:rFonts w:eastAsia="Calibri"/>
          <w:noProof/>
          <w:color w:val="000000"/>
          <w:szCs w:val="24"/>
          <w:lang w:bidi="en-US"/>
          <w14:ligatures w14:val="standardContextual"/>
        </w:rPr>
        <w:t xml:space="preserve">The Action Plan includes </w:t>
      </w:r>
      <w:r>
        <w:rPr>
          <w:rFonts w:eastAsia="Calibri"/>
          <w:noProof/>
          <w:color w:val="000000"/>
          <w:lang w:bidi="en-US"/>
          <w14:ligatures w14:val="standardContextual"/>
        </w:rPr>
        <w:t>a</w:t>
      </w:r>
      <w:r w:rsidRPr="000B0888">
        <w:rPr>
          <w:rFonts w:eastAsia="Calibri"/>
          <w:noProof/>
          <w:color w:val="000000"/>
          <w:lang w:bidi="en-US"/>
          <w14:ligatures w14:val="standardContextual"/>
        </w:rPr>
        <w:t xml:space="preserve"> national funding program </w:t>
      </w:r>
      <w:r>
        <w:rPr>
          <w:rFonts w:eastAsia="Calibri"/>
          <w:noProof/>
          <w:color w:val="000000"/>
          <w:lang w:bidi="en-US"/>
          <w14:ligatures w14:val="standardContextual"/>
        </w:rPr>
        <w:t xml:space="preserve">which </w:t>
      </w:r>
      <w:r w:rsidRPr="000B0888">
        <w:rPr>
          <w:rFonts w:eastAsia="Calibri"/>
          <w:noProof/>
          <w:color w:val="000000"/>
          <w:lang w:bidi="en-US"/>
          <w14:ligatures w14:val="standardContextual"/>
        </w:rPr>
        <w:t>is aiding public and private entities to</w:t>
      </w:r>
      <w:r w:rsidRPr="77802561">
        <w:rPr>
          <w:rFonts w:eastAsia="Calibri"/>
          <w:noProof/>
          <w:color w:val="000000"/>
          <w:lang w:bidi="en-US"/>
          <w14:ligatures w14:val="standardContextual"/>
        </w:rPr>
        <w:t xml:space="preserve"> create effective Anti-Bribery Management </w:t>
      </w:r>
      <w:r w:rsidRPr="77802561">
        <w:rPr>
          <w:rFonts w:eastAsia="Calibri"/>
          <w:noProof/>
          <w:lang w:bidi="en-US"/>
          <w14:ligatures w14:val="standardContextual"/>
        </w:rPr>
        <w:t>Systems</w:t>
      </w:r>
      <w:r w:rsidRPr="77802561">
        <w:rPr>
          <w:noProof/>
          <w:vertAlign w:val="superscript"/>
          <w:lang w:bidi="en-US"/>
          <w14:ligatures w14:val="standardContextual"/>
        </w:rPr>
        <w:footnoteReference w:id="70"/>
      </w:r>
      <w:r w:rsidRPr="77802561">
        <w:rPr>
          <w:noProof/>
          <w:lang w:bidi="en-US"/>
          <w14:ligatures w14:val="standardContextual"/>
        </w:rPr>
        <w:t xml:space="preserve">. </w:t>
      </w:r>
      <w:r w:rsidRPr="77802561">
        <w:rPr>
          <w:rFonts w:eastAsia="Calibri"/>
          <w:noProof/>
          <w:color w:val="000000"/>
          <w:lang w:bidi="en-US"/>
          <w14:ligatures w14:val="standardContextual"/>
        </w:rPr>
        <w:t xml:space="preserve">In addition, the IAAC continued to implement </w:t>
      </w:r>
      <w:r>
        <w:rPr>
          <w:rFonts w:eastAsia="Calibri"/>
          <w:noProof/>
          <w:color w:val="000000"/>
          <w:lang w:bidi="en-US"/>
          <w14:ligatures w14:val="standardContextual"/>
        </w:rPr>
        <w:t>its</w:t>
      </w:r>
      <w:r w:rsidRPr="77802561">
        <w:rPr>
          <w:rFonts w:eastAsia="Calibri"/>
          <w:noProof/>
          <w:color w:val="000000"/>
          <w:lang w:bidi="en-US"/>
          <w14:ligatures w14:val="standardContextual"/>
        </w:rPr>
        <w:t xml:space="preserve"> Awareness, Education and Prevention </w:t>
      </w:r>
      <w:r w:rsidRPr="00D87BD4">
        <w:rPr>
          <w:rFonts w:eastAsia="Calibri"/>
          <w:noProof/>
          <w:color w:val="000000"/>
          <w:lang w:bidi="en-US"/>
          <w14:ligatures w14:val="standardContextual"/>
        </w:rPr>
        <w:t>Strategy</w:t>
      </w:r>
      <w:r w:rsidRPr="77802561">
        <w:rPr>
          <w:rFonts w:eastAsia="Calibri"/>
          <w:noProof/>
          <w:color w:val="000000"/>
          <w:vertAlign w:val="superscript"/>
          <w:lang w:bidi="en-US"/>
          <w14:ligatures w14:val="standardContextual"/>
        </w:rPr>
        <w:footnoteReference w:id="71"/>
      </w:r>
      <w:r w:rsidRPr="77802561">
        <w:rPr>
          <w:rFonts w:eastAsia="Calibri"/>
          <w:noProof/>
          <w:color w:val="000000"/>
          <w:lang w:bidi="en-US"/>
          <w14:ligatures w14:val="standardContextual"/>
        </w:rPr>
        <w:t>. This included the IAAC’s participation in specialised training programs on the newly revised Guide of Conduct and Ethics of Civil Servants</w:t>
      </w:r>
      <w:r w:rsidRPr="77802561">
        <w:rPr>
          <w:rFonts w:eastAsia="Calibri"/>
          <w:noProof/>
          <w:color w:val="000000"/>
          <w:vertAlign w:val="superscript"/>
          <w:lang w:bidi="en-US"/>
          <w14:ligatures w14:val="standardContextual"/>
        </w:rPr>
        <w:footnoteReference w:id="72"/>
      </w:r>
      <w:r w:rsidRPr="77802561">
        <w:rPr>
          <w:rFonts w:eastAsia="Calibri"/>
          <w:noProof/>
          <w:color w:val="000000"/>
          <w:lang w:bidi="en-US"/>
          <w14:ligatures w14:val="standardContextual"/>
        </w:rPr>
        <w:t>.</w:t>
      </w:r>
      <w:r w:rsidRPr="77802561">
        <w:rPr>
          <w:noProof/>
          <w:color w:val="000000"/>
          <w:lang w:bidi="en-US"/>
          <w14:ligatures w14:val="standardContextual"/>
        </w:rPr>
        <w:t xml:space="preserve">In order to </w:t>
      </w:r>
      <w:r w:rsidRPr="77802561">
        <w:rPr>
          <w:rFonts w:eastAsia="Calibri"/>
          <w:noProof/>
          <w:color w:val="000000"/>
          <w:lang w:bidi="en-US"/>
          <w14:ligatures w14:val="standardContextual"/>
        </w:rPr>
        <w:t xml:space="preserve">enhance transparency and data security and reinforce public trust, the IAAC </w:t>
      </w:r>
      <w:r w:rsidR="004B0D7F">
        <w:rPr>
          <w:rFonts w:eastAsia="Calibri"/>
          <w:noProof/>
          <w:color w:val="000000"/>
          <w:lang w:bidi="en-US"/>
          <w14:ligatures w14:val="standardContextual"/>
        </w:rPr>
        <w:t xml:space="preserve">is planning </w:t>
      </w:r>
      <w:r w:rsidR="00853814">
        <w:rPr>
          <w:rFonts w:eastAsia="Calibri"/>
          <w:noProof/>
          <w:color w:val="000000"/>
          <w:lang w:bidi="en-US"/>
          <w14:ligatures w14:val="standardContextual"/>
        </w:rPr>
        <w:t xml:space="preserve">to </w:t>
      </w:r>
      <w:r w:rsidRPr="77802561">
        <w:rPr>
          <w:rFonts w:eastAsia="Calibri"/>
          <w:noProof/>
          <w:color w:val="000000"/>
          <w:lang w:bidi="en-US"/>
          <w14:ligatures w14:val="standardContextual"/>
        </w:rPr>
        <w:t>launch an electronic platform to digitalise the submission and management of corruption complaints</w:t>
      </w:r>
      <w:r w:rsidRPr="77802561">
        <w:rPr>
          <w:rFonts w:eastAsia="Calibri"/>
          <w:noProof/>
          <w:color w:val="000000"/>
          <w:vertAlign w:val="superscript"/>
          <w:lang w:bidi="en-US"/>
          <w14:ligatures w14:val="standardContextual"/>
        </w:rPr>
        <w:footnoteReference w:id="73"/>
      </w:r>
      <w:r w:rsidRPr="77802561">
        <w:rPr>
          <w:rFonts w:eastAsia="Calibri"/>
          <w:noProof/>
          <w:color w:val="000000"/>
          <w:lang w:bidi="en-US"/>
          <w14:ligatures w14:val="standardContextual"/>
        </w:rPr>
        <w:t xml:space="preserve">. Civil society </w:t>
      </w:r>
      <w:r w:rsidRPr="77802561">
        <w:rPr>
          <w:noProof/>
          <w:color w:val="000000"/>
          <w:lang w:bidi="en-US"/>
          <w14:ligatures w14:val="standardContextual"/>
        </w:rPr>
        <w:t xml:space="preserve">advocates for </w:t>
      </w:r>
      <w:r w:rsidRPr="77802561">
        <w:rPr>
          <w:noProof/>
          <w:color w:val="000000" w:themeColor="text1"/>
          <w:lang w:bidi="en-US"/>
        </w:rPr>
        <w:t xml:space="preserve">more </w:t>
      </w:r>
      <w:r w:rsidRPr="77802561">
        <w:rPr>
          <w:noProof/>
          <w:color w:val="000000"/>
          <w:lang w:bidi="en-US"/>
          <w14:ligatures w14:val="standardContextual"/>
        </w:rPr>
        <w:t>comprehensive public reporting on progress in the implementation of the Anti-Corruption Action Plan using concrete indicators</w:t>
      </w:r>
      <w:r w:rsidRPr="77802561">
        <w:rPr>
          <w:rStyle w:val="FootnoteReference"/>
          <w:noProof/>
          <w:color w:val="000000"/>
          <w:lang w:bidi="en-US"/>
          <w14:ligatures w14:val="standardContextual"/>
        </w:rPr>
        <w:footnoteReference w:id="74"/>
      </w:r>
      <w:r w:rsidRPr="77802561">
        <w:rPr>
          <w:noProof/>
          <w:color w:val="000000"/>
          <w:lang w:bidi="en-US"/>
          <w14:ligatures w14:val="standardContextual"/>
        </w:rPr>
        <w:t xml:space="preserve">. </w:t>
      </w:r>
    </w:p>
    <w:p w14:paraId="54167328" w14:textId="75C52489" w:rsidR="0040534C" w:rsidRPr="0009783B" w:rsidRDefault="0040534C" w:rsidP="0040534C">
      <w:pPr>
        <w:widowControl w:val="0"/>
        <w:rPr>
          <w:rFonts w:eastAsia="Calibri"/>
          <w:noProof/>
          <w:color w:val="000000"/>
          <w:shd w:val="clear" w:color="auto" w:fill="FFFFFF"/>
          <w:lang w:eastAsia="en-GB" w:bidi="en-US"/>
          <w14:ligatures w14:val="standardContextual"/>
        </w:rPr>
      </w:pPr>
      <w:bookmarkStart w:id="14" w:name="_Hlk224197653"/>
      <w:bookmarkStart w:id="15" w:name="_Hlk197877257"/>
      <w:bookmarkStart w:id="16" w:name="_Hlk191279660"/>
      <w:r>
        <w:rPr>
          <w:rFonts w:eastAsia="Calibri"/>
          <w:b/>
          <w:bCs/>
          <w:noProof/>
        </w:rPr>
        <w:t>Efforts continue to investigate</w:t>
      </w:r>
      <w:r w:rsidRPr="77802561">
        <w:rPr>
          <w:rFonts w:eastAsia="Calibri"/>
          <w:b/>
          <w:bCs/>
          <w:noProof/>
        </w:rPr>
        <w:t xml:space="preserve"> high-level corruption</w:t>
      </w:r>
      <w:bookmarkEnd w:id="14"/>
      <w:r>
        <w:rPr>
          <w:rFonts w:eastAsia="Calibri"/>
          <w:b/>
          <w:bCs/>
          <w:noProof/>
        </w:rPr>
        <w:t>, with further new convictions</w:t>
      </w:r>
      <w:r w:rsidRPr="77802561">
        <w:rPr>
          <w:rFonts w:eastAsia="Calibri"/>
          <w:b/>
          <w:bCs/>
          <w:noProof/>
        </w:rPr>
        <w:t xml:space="preserve">. </w:t>
      </w:r>
      <w:r w:rsidRPr="77802561">
        <w:rPr>
          <w:rFonts w:eastAsia="Calibri"/>
          <w:noProof/>
          <w:color w:val="000000"/>
          <w:lang w:bidi="en-US"/>
          <w14:ligatures w14:val="standardContextual"/>
        </w:rPr>
        <w:t>The Anti-Corruption Taskforce, that operates under the Attorney General’s remit, continued to supervise the investigation and prosecution of corruption offences, including high-level cases</w:t>
      </w:r>
      <w:r>
        <w:rPr>
          <w:rFonts w:eastAsia="Calibri"/>
          <w:noProof/>
          <w:color w:val="000000"/>
          <w:lang w:bidi="en-US"/>
          <w14:ligatures w14:val="standardContextual"/>
        </w:rPr>
        <w:t xml:space="preserve">. </w:t>
      </w:r>
      <w:r w:rsidRPr="77802561">
        <w:rPr>
          <w:rFonts w:eastAsia="Calibri"/>
          <w:noProof/>
          <w:color w:val="000000"/>
          <w:lang w:bidi="en-US"/>
          <w14:ligatures w14:val="standardContextual"/>
        </w:rPr>
        <w:t xml:space="preserve">In 2025, four persons were convicted for corruption related offences in </w:t>
      </w:r>
      <w:r w:rsidRPr="77802561">
        <w:rPr>
          <w:rFonts w:eastAsia="Calibri"/>
          <w:noProof/>
          <w:color w:val="000000" w:themeColor="text1"/>
          <w:lang w:bidi="en-US"/>
        </w:rPr>
        <w:t xml:space="preserve">separate </w:t>
      </w:r>
      <w:r w:rsidRPr="77802561">
        <w:rPr>
          <w:rFonts w:eastAsia="Calibri"/>
          <w:noProof/>
          <w:color w:val="000000"/>
          <w:lang w:bidi="en-US"/>
          <w14:ligatures w14:val="standardContextual"/>
        </w:rPr>
        <w:t>cases</w:t>
      </w:r>
      <w:r w:rsidRPr="77802561">
        <w:rPr>
          <w:rFonts w:eastAsia="Calibri"/>
          <w:noProof/>
          <w:color w:val="000000"/>
          <w:vertAlign w:val="superscript"/>
          <w:lang w:bidi="en-US"/>
          <w14:ligatures w14:val="standardContextual"/>
        </w:rPr>
        <w:footnoteReference w:id="75"/>
      </w:r>
      <w:r w:rsidRPr="77802561">
        <w:rPr>
          <w:rFonts w:eastAsia="Calibri"/>
          <w:noProof/>
          <w:color w:val="000000"/>
          <w:lang w:bidi="en-US"/>
          <w14:ligatures w14:val="standardContextual"/>
        </w:rPr>
        <w:t xml:space="preserve">. The Police investigated </w:t>
      </w:r>
      <w:r>
        <w:rPr>
          <w:rFonts w:eastAsia="Calibri"/>
          <w:noProof/>
          <w:color w:val="000000"/>
          <w:lang w:bidi="en-US"/>
          <w14:ligatures w14:val="standardContextual"/>
        </w:rPr>
        <w:t>13</w:t>
      </w:r>
      <w:r w:rsidRPr="77802561">
        <w:rPr>
          <w:rFonts w:eastAsia="Calibri"/>
          <w:noProof/>
          <w:color w:val="000000"/>
          <w:lang w:bidi="en-US"/>
          <w14:ligatures w14:val="standardContextual"/>
        </w:rPr>
        <w:t xml:space="preserve"> corruption cases, including</w:t>
      </w:r>
      <w:r w:rsidRPr="77802561" w:rsidDel="00677EAC">
        <w:rPr>
          <w:rFonts w:eastAsia="Calibri"/>
          <w:noProof/>
          <w:color w:val="000000"/>
          <w:lang w:bidi="en-US"/>
          <w14:ligatures w14:val="standardContextual"/>
        </w:rPr>
        <w:t xml:space="preserve"> </w:t>
      </w:r>
      <w:r w:rsidRPr="77802561">
        <w:rPr>
          <w:rFonts w:eastAsia="Calibri"/>
          <w:noProof/>
          <w:color w:val="000000"/>
          <w:lang w:bidi="en-US"/>
          <w14:ligatures w14:val="standardContextual"/>
        </w:rPr>
        <w:t>high-level corruption cases</w:t>
      </w:r>
      <w:r w:rsidRPr="77802561">
        <w:rPr>
          <w:rStyle w:val="FootnoteReference"/>
          <w:rFonts w:eastAsia="Calibri"/>
          <w:noProof/>
          <w:color w:val="000000"/>
          <w:lang w:bidi="en-US"/>
          <w14:ligatures w14:val="standardContextual"/>
        </w:rPr>
        <w:footnoteReference w:id="76"/>
      </w:r>
      <w:r w:rsidRPr="77802561">
        <w:rPr>
          <w:rFonts w:eastAsia="Calibri"/>
          <w:noProof/>
          <w:color w:val="000000"/>
          <w:lang w:bidi="en-US"/>
          <w14:ligatures w14:val="standardContextual"/>
        </w:rPr>
        <w:t>.</w:t>
      </w:r>
      <w:r w:rsidRPr="77802561">
        <w:rPr>
          <w:rFonts w:eastAsia="Calibri"/>
          <w:noProof/>
          <w:color w:val="0070C0"/>
          <w:lang w:bidi="en-US"/>
          <w14:ligatures w14:val="standardContextual"/>
        </w:rPr>
        <w:t xml:space="preserve"> </w:t>
      </w:r>
      <w:r w:rsidR="00940E81">
        <w:rPr>
          <w:rFonts w:eastAsia="Calibri"/>
          <w:noProof/>
          <w:color w:val="000000"/>
          <w:lang w:bidi="en-US"/>
          <w14:ligatures w14:val="standardContextual"/>
        </w:rPr>
        <w:t>Up to</w:t>
      </w:r>
      <w:r w:rsidRPr="00EE8D8C" w:rsidDel="002057BB">
        <w:rPr>
          <w:rFonts w:eastAsia="Calibri"/>
          <w:noProof/>
          <w:color w:val="000000"/>
          <w:lang w:bidi="en-US"/>
          <w14:ligatures w14:val="standardContextual"/>
        </w:rPr>
        <w:t xml:space="preserve"> 202</w:t>
      </w:r>
      <w:r w:rsidRPr="00EE8D8C">
        <w:rPr>
          <w:rFonts w:eastAsia="Calibri"/>
          <w:noProof/>
          <w:color w:val="000000"/>
          <w:lang w:bidi="en-US"/>
          <w14:ligatures w14:val="standardContextual"/>
        </w:rPr>
        <w:t>5</w:t>
      </w:r>
      <w:r w:rsidRPr="00EE8D8C" w:rsidDel="002057BB">
        <w:rPr>
          <w:rFonts w:eastAsia="Calibri"/>
          <w:noProof/>
          <w:color w:val="000000"/>
          <w:lang w:bidi="en-US"/>
          <w14:ligatures w14:val="standardContextual"/>
        </w:rPr>
        <w:t xml:space="preserve">, the IAAC </w:t>
      </w:r>
      <w:r w:rsidRPr="00EE8D8C">
        <w:rPr>
          <w:noProof/>
          <w:color w:val="000000"/>
          <w:lang w:bidi="en-US"/>
          <w14:ligatures w14:val="standardContextual"/>
        </w:rPr>
        <w:t xml:space="preserve">completed </w:t>
      </w:r>
      <w:r>
        <w:rPr>
          <w:noProof/>
          <w:color w:val="000000"/>
          <w:lang w:bidi="en-US"/>
          <w14:ligatures w14:val="standardContextual"/>
        </w:rPr>
        <w:t>15</w:t>
      </w:r>
      <w:r w:rsidRPr="00EE8D8C">
        <w:rPr>
          <w:noProof/>
          <w:color w:val="000000"/>
          <w:lang w:bidi="en-US"/>
          <w14:ligatures w14:val="standardContextual"/>
        </w:rPr>
        <w:t xml:space="preserve"> major investigation reports of which </w:t>
      </w:r>
      <w:r w:rsidR="001216C9">
        <w:rPr>
          <w:noProof/>
          <w:color w:val="000000"/>
          <w:lang w:bidi="en-US"/>
          <w14:ligatures w14:val="standardContextual"/>
        </w:rPr>
        <w:t>six</w:t>
      </w:r>
      <w:r w:rsidR="001216C9" w:rsidRPr="00EE8D8C">
        <w:rPr>
          <w:noProof/>
          <w:color w:val="000000"/>
          <w:lang w:bidi="en-US"/>
          <w14:ligatures w14:val="standardContextual"/>
        </w:rPr>
        <w:t xml:space="preserve"> </w:t>
      </w:r>
      <w:r w:rsidRPr="77802561" w:rsidDel="002057BB">
        <w:rPr>
          <w:noProof/>
          <w:color w:val="000000"/>
          <w:lang w:bidi="en-US"/>
          <w14:ligatures w14:val="standardContextual"/>
        </w:rPr>
        <w:t>were transmitted</w:t>
      </w:r>
      <w:r w:rsidRPr="77802561">
        <w:rPr>
          <w:rFonts w:eastAsia="Calibri"/>
          <w:noProof/>
          <w:color w:val="000000"/>
          <w:lang w:bidi="en-US"/>
          <w14:ligatures w14:val="standardContextual"/>
        </w:rPr>
        <w:t xml:space="preserve"> </w:t>
      </w:r>
      <w:r w:rsidRPr="00EE8D8C" w:rsidDel="002057BB">
        <w:rPr>
          <w:rFonts w:eastAsia="Calibri"/>
          <w:noProof/>
          <w:color w:val="000000"/>
          <w:lang w:bidi="en-US"/>
          <w14:ligatures w14:val="standardContextual"/>
        </w:rPr>
        <w:t>to the Attorney General for further investigation</w:t>
      </w:r>
      <w:r w:rsidRPr="77802561">
        <w:rPr>
          <w:noProof/>
          <w:color w:val="000000"/>
          <w:lang w:bidi="en-US"/>
          <w14:ligatures w14:val="standardContextual"/>
        </w:rPr>
        <w:t xml:space="preserve"> and other competent authorities for further action</w:t>
      </w:r>
      <w:r w:rsidR="003E2159">
        <w:rPr>
          <w:rStyle w:val="FootnoteReference"/>
          <w:noProof/>
          <w:color w:val="000000"/>
          <w:lang w:bidi="en-US"/>
          <w14:ligatures w14:val="standardContextual"/>
        </w:rPr>
        <w:footnoteReference w:id="77"/>
      </w:r>
      <w:r w:rsidRPr="77802561">
        <w:rPr>
          <w:noProof/>
          <w:color w:val="000000"/>
          <w:lang w:bidi="en-US"/>
          <w14:ligatures w14:val="standardContextual"/>
        </w:rPr>
        <w:t>.</w:t>
      </w:r>
      <w:r w:rsidRPr="00EE8D8C" w:rsidDel="002057BB">
        <w:rPr>
          <w:rFonts w:eastAsia="Calibri"/>
          <w:noProof/>
          <w:color w:val="000000"/>
          <w:lang w:bidi="en-US"/>
          <w14:ligatures w14:val="standardContextual"/>
        </w:rPr>
        <w:t xml:space="preserve"> </w:t>
      </w:r>
      <w:r w:rsidRPr="00EE8D8C">
        <w:rPr>
          <w:rFonts w:eastAsia="Calibri"/>
          <w:noProof/>
          <w:color w:val="000000"/>
          <w:lang w:bidi="en-US"/>
          <w14:ligatures w14:val="standardContextual"/>
        </w:rPr>
        <w:t xml:space="preserve">The IAAC </w:t>
      </w:r>
      <w:r w:rsidRPr="00EE8D8C" w:rsidDel="002057BB">
        <w:rPr>
          <w:rFonts w:eastAsia="Calibri"/>
          <w:noProof/>
          <w:color w:val="000000"/>
          <w:lang w:bidi="en-US"/>
          <w14:ligatures w14:val="standardContextual"/>
        </w:rPr>
        <w:t xml:space="preserve">is currently dealing with </w:t>
      </w:r>
      <w:r w:rsidRPr="00EE8D8C">
        <w:rPr>
          <w:rFonts w:eastAsia="Calibri"/>
          <w:noProof/>
          <w:color w:val="000000"/>
          <w:lang w:bidi="en-US"/>
          <w14:ligatures w14:val="standardContextual"/>
        </w:rPr>
        <w:t>six</w:t>
      </w:r>
      <w:r w:rsidRPr="00EE8D8C" w:rsidDel="002057BB">
        <w:rPr>
          <w:rFonts w:eastAsia="Calibri"/>
          <w:noProof/>
          <w:color w:val="000000"/>
          <w:lang w:bidi="en-US"/>
          <w14:ligatures w14:val="standardContextual"/>
        </w:rPr>
        <w:t xml:space="preserve"> ongoing corruption </w:t>
      </w:r>
      <w:r w:rsidRPr="00EE8D8C">
        <w:rPr>
          <w:rFonts w:eastAsia="Calibri"/>
          <w:noProof/>
          <w:color w:val="000000"/>
          <w:lang w:bidi="en-US"/>
          <w14:ligatures w14:val="standardContextual"/>
        </w:rPr>
        <w:t>investigations</w:t>
      </w:r>
      <w:r w:rsidR="00BC1A14" w:rsidRPr="00BC1A14">
        <w:rPr>
          <w:noProof/>
        </w:rPr>
        <w:t xml:space="preserve"> </w:t>
      </w:r>
      <w:r w:rsidR="00BC1A14" w:rsidRPr="00BC1A14">
        <w:rPr>
          <w:rFonts w:eastAsia="Calibri"/>
          <w:noProof/>
          <w:color w:val="000000"/>
          <w:lang w:bidi="en-US"/>
          <w14:ligatures w14:val="standardContextual"/>
        </w:rPr>
        <w:t>conducted by appointed independent inspection officers</w:t>
      </w:r>
      <w:r w:rsidRPr="00EE8D8C">
        <w:rPr>
          <w:rFonts w:eastAsia="Calibri"/>
          <w:noProof/>
          <w:color w:val="000000"/>
          <w:vertAlign w:val="superscript"/>
          <w:lang w:bidi="en-US"/>
          <w14:ligatures w14:val="standardContextual"/>
        </w:rPr>
        <w:footnoteReference w:id="78"/>
      </w:r>
      <w:r w:rsidRPr="77802561">
        <w:rPr>
          <w:rFonts w:eastAsia="Calibri"/>
          <w:noProof/>
          <w:color w:val="000000" w:themeColor="text1"/>
          <w:lang w:bidi="en-US"/>
          <w14:ligatures w14:val="standardContextual"/>
        </w:rPr>
        <w:t>.</w:t>
      </w:r>
      <w:r w:rsidRPr="77802561">
        <w:rPr>
          <w:rFonts w:eastAsia="Calibri"/>
          <w:noProof/>
          <w:color w:val="000000"/>
          <w:lang w:bidi="en-US"/>
          <w14:ligatures w14:val="standardContextual"/>
        </w:rPr>
        <w:t xml:space="preserve"> </w:t>
      </w:r>
      <w:r>
        <w:rPr>
          <w:rFonts w:eastAsia="Calibri"/>
          <w:noProof/>
          <w:color w:val="000000"/>
          <w:lang w:bidi="en-US"/>
          <w14:ligatures w14:val="standardContextual"/>
        </w:rPr>
        <w:t>D</w:t>
      </w:r>
      <w:r w:rsidRPr="77802561">
        <w:rPr>
          <w:rFonts w:eastAsia="Calibri"/>
          <w:noProof/>
          <w:lang w:bidi="en-US"/>
          <w14:ligatures w14:val="standardContextual"/>
        </w:rPr>
        <w:t>uring</w:t>
      </w:r>
      <w:r>
        <w:rPr>
          <w:rFonts w:eastAsia="Calibri"/>
          <w:noProof/>
          <w:lang w:bidi="en-US"/>
          <w14:ligatures w14:val="standardContextual"/>
        </w:rPr>
        <w:t xml:space="preserve"> </w:t>
      </w:r>
      <w:r w:rsidRPr="77802561">
        <w:rPr>
          <w:rFonts w:eastAsia="Calibri"/>
          <w:noProof/>
          <w:color w:val="000000"/>
          <w:lang w:bidi="en-US"/>
          <w14:ligatures w14:val="standardContextual"/>
        </w:rPr>
        <w:t>2025, the Police initiated six sport corruption-related cases</w:t>
      </w:r>
      <w:bookmarkStart w:id="17" w:name="_Hlk222215155"/>
      <w:r w:rsidRPr="0097111C">
        <w:rPr>
          <w:rFonts w:eastAsia="Calibri"/>
          <w:noProof/>
          <w:color w:val="000000"/>
          <w:szCs w:val="24"/>
          <w:vertAlign w:val="superscript"/>
          <w:lang w:bidi="en-US"/>
          <w14:ligatures w14:val="standardContextual"/>
        </w:rPr>
        <w:footnoteReference w:id="79"/>
      </w:r>
      <w:r>
        <w:rPr>
          <w:noProof/>
          <w:lang w:bidi="en-US"/>
          <w14:ligatures w14:val="standardContextual"/>
        </w:rPr>
        <w:t xml:space="preserve">. </w:t>
      </w:r>
      <w:r>
        <w:rPr>
          <w:rFonts w:eastAsia="Calibri"/>
          <w:noProof/>
          <w:color w:val="000000"/>
          <w:lang w:bidi="en-US"/>
          <w14:ligatures w14:val="standardContextual"/>
        </w:rPr>
        <w:t>The four cases</w:t>
      </w:r>
      <w:r>
        <w:rPr>
          <w:rFonts w:eastAsia="Calibri"/>
          <w:noProof/>
          <w:color w:val="000000" w:themeColor="text1"/>
          <w:lang w:bidi="en-US"/>
        </w:rPr>
        <w:t xml:space="preserve"> f</w:t>
      </w:r>
      <w:r w:rsidRPr="77802561">
        <w:rPr>
          <w:rFonts w:eastAsia="Calibri"/>
          <w:noProof/>
          <w:color w:val="000000"/>
          <w:lang w:bidi="en-US"/>
          <w14:ligatures w14:val="standardContextual"/>
        </w:rPr>
        <w:t>or corruption linked to the now abolished</w:t>
      </w:r>
      <w:r w:rsidRPr="009B5C71">
        <w:rPr>
          <w:rFonts w:eastAsia="Calibri"/>
          <w:bCs/>
          <w:noProof/>
          <w:color w:val="000000"/>
          <w:szCs w:val="24"/>
          <w:lang w:bidi="en-US"/>
          <w14:ligatures w14:val="standardContextual"/>
        </w:rPr>
        <w:t xml:space="preserve"> </w:t>
      </w:r>
      <w:r w:rsidRPr="0097111C">
        <w:rPr>
          <w:rFonts w:eastAsia="Calibri"/>
          <w:bCs/>
          <w:noProof/>
          <w:color w:val="000000"/>
          <w:szCs w:val="24"/>
          <w:lang w:bidi="en-US"/>
          <w14:ligatures w14:val="standardContextual"/>
        </w:rPr>
        <w:t>Citizenship Investor Programme (CIP)</w:t>
      </w:r>
      <w:r w:rsidRPr="0097111C">
        <w:rPr>
          <w:rFonts w:eastAsia="Calibri"/>
          <w:bCs/>
          <w:noProof/>
          <w:color w:val="000000"/>
          <w:szCs w:val="24"/>
          <w:vertAlign w:val="superscript"/>
          <w:lang w:bidi="en-US"/>
          <w14:ligatures w14:val="standardContextual"/>
        </w:rPr>
        <w:footnoteReference w:id="80"/>
      </w:r>
      <w:r>
        <w:rPr>
          <w:rFonts w:eastAsia="Calibri"/>
          <w:bCs/>
          <w:noProof/>
          <w:color w:val="000000"/>
          <w:szCs w:val="24"/>
          <w:vertAlign w:val="superscript"/>
          <w:lang w:bidi="en-US"/>
          <w14:ligatures w14:val="standardContextual"/>
        </w:rPr>
        <w:t xml:space="preserve"> </w:t>
      </w:r>
      <w:r w:rsidRPr="77802561">
        <w:rPr>
          <w:rFonts w:eastAsia="Calibri"/>
          <w:noProof/>
          <w:color w:val="000000"/>
          <w:lang w:bidi="en-US"/>
          <w14:ligatures w14:val="standardContextual"/>
        </w:rPr>
        <w:t>are still ongoing</w:t>
      </w:r>
      <w:r w:rsidRPr="0097111C">
        <w:rPr>
          <w:rFonts w:eastAsia="Calibri"/>
          <w:bCs/>
          <w:noProof/>
          <w:color w:val="000000"/>
          <w:szCs w:val="24"/>
          <w:vertAlign w:val="superscript"/>
          <w:lang w:bidi="en-US"/>
          <w14:ligatures w14:val="standardContextual"/>
        </w:rPr>
        <w:footnoteReference w:id="81"/>
      </w:r>
      <w:bookmarkEnd w:id="17"/>
      <w:r>
        <w:rPr>
          <w:rFonts w:eastAsia="Calibri"/>
          <w:noProof/>
          <w:color w:val="000000"/>
          <w:lang w:bidi="en-US"/>
          <w14:ligatures w14:val="standardContextual"/>
        </w:rPr>
        <w:t xml:space="preserve">. </w:t>
      </w:r>
      <w:r w:rsidRPr="77802561">
        <w:rPr>
          <w:rFonts w:eastAsia="Calibri"/>
          <w:noProof/>
          <w:color w:val="000000"/>
          <w:lang w:bidi="en-US"/>
          <w14:ligatures w14:val="standardContextual"/>
        </w:rPr>
        <w:t xml:space="preserve">The </w:t>
      </w:r>
      <w:r>
        <w:rPr>
          <w:rFonts w:eastAsia="Calibri"/>
          <w:noProof/>
          <w:color w:val="000000"/>
          <w:lang w:bidi="en-US"/>
          <w14:ligatures w14:val="standardContextual"/>
        </w:rPr>
        <w:t>European Public Prosecutor’s Office (</w:t>
      </w:r>
      <w:r w:rsidRPr="77802561">
        <w:rPr>
          <w:rFonts w:eastAsia="Calibri"/>
          <w:noProof/>
          <w:color w:val="000000"/>
          <w:lang w:bidi="en-US"/>
          <w14:ligatures w14:val="standardContextual"/>
        </w:rPr>
        <w:t>EPPO</w:t>
      </w:r>
      <w:r>
        <w:rPr>
          <w:rFonts w:eastAsia="Calibri"/>
          <w:noProof/>
          <w:color w:val="000000"/>
          <w:lang w:bidi="en-US"/>
          <w14:ligatures w14:val="standardContextual"/>
        </w:rPr>
        <w:t>)</w:t>
      </w:r>
      <w:r w:rsidRPr="77802561">
        <w:rPr>
          <w:rFonts w:eastAsia="Calibri"/>
          <w:noProof/>
          <w:color w:val="000000"/>
          <w:lang w:bidi="en-US"/>
          <w14:ligatures w14:val="standardContextual"/>
        </w:rPr>
        <w:t xml:space="preserve"> investigated one corruption case in 202</w:t>
      </w:r>
      <w:r>
        <w:rPr>
          <w:rFonts w:eastAsia="Calibri"/>
          <w:noProof/>
          <w:color w:val="000000"/>
          <w:lang w:bidi="en-US"/>
          <w14:ligatures w14:val="standardContextual"/>
        </w:rPr>
        <w:t>5</w:t>
      </w:r>
      <w:r w:rsidRPr="00571CC4">
        <w:rPr>
          <w:rFonts w:eastAsia="Calibri"/>
          <w:noProof/>
          <w:color w:val="000000"/>
          <w:szCs w:val="24"/>
          <w:vertAlign w:val="superscript"/>
          <w:lang w:bidi="en-US"/>
          <w14:ligatures w14:val="standardContextual"/>
        </w:rPr>
        <w:footnoteReference w:id="82"/>
      </w:r>
      <w:r w:rsidRPr="77802561">
        <w:rPr>
          <w:rFonts w:eastAsia="Calibri"/>
          <w:noProof/>
          <w:color w:val="000000"/>
          <w:shd w:val="clear" w:color="auto" w:fill="FFFFFF"/>
          <w:lang w:bidi="en-US"/>
          <w14:ligatures w14:val="standardContextual"/>
        </w:rPr>
        <w:t>.</w:t>
      </w:r>
      <w:r w:rsidRPr="77802561">
        <w:rPr>
          <w:rFonts w:eastAsia="Calibri"/>
          <w:noProof/>
          <w:color w:val="000000"/>
          <w:shd w:val="clear" w:color="auto" w:fill="FFFFFF"/>
          <w:lang w:eastAsia="en-GB" w:bidi="en-US"/>
          <w14:ligatures w14:val="standardContextual"/>
        </w:rPr>
        <w:t xml:space="preserve"> </w:t>
      </w:r>
      <w:r w:rsidRPr="77802561">
        <w:rPr>
          <w:rFonts w:eastAsia="Calibri"/>
          <w:noProof/>
          <w:color w:val="000000"/>
          <w:shd w:val="clear" w:color="auto" w:fill="FFFFFF"/>
          <w:lang w:bidi="en-US"/>
          <w14:ligatures w14:val="standardContextual"/>
        </w:rPr>
        <w:t xml:space="preserve">Civil society </w:t>
      </w:r>
      <w:r w:rsidRPr="77802561">
        <w:rPr>
          <w:rFonts w:eastAsia="Calibri"/>
          <w:noProof/>
          <w:color w:val="000000"/>
          <w:shd w:val="clear" w:color="auto" w:fill="FFFFFF"/>
          <w:lang w:eastAsia="en-GB" w:bidi="en-US"/>
          <w14:ligatures w14:val="standardContextual"/>
        </w:rPr>
        <w:t>considers that policymaking in the area of</w:t>
      </w:r>
      <w:r w:rsidRPr="00B97CD3">
        <w:rPr>
          <w:rFonts w:eastAsia="Calibri"/>
          <w:noProof/>
          <w:color w:val="000000"/>
          <w:szCs w:val="24"/>
          <w:shd w:val="clear" w:color="auto" w:fill="FFFFFF"/>
          <w:lang w:eastAsia="en-GB" w:bidi="en-US"/>
          <w14:ligatures w14:val="standardContextual"/>
        </w:rPr>
        <w:t xml:space="preserve"> </w:t>
      </w:r>
      <w:r w:rsidRPr="0009783B">
        <w:rPr>
          <w:rFonts w:eastAsia="Calibri"/>
          <w:noProof/>
          <w:color w:val="000000"/>
          <w:szCs w:val="24"/>
          <w:shd w:val="clear" w:color="auto" w:fill="FFFFFF"/>
          <w:lang w:eastAsia="en-GB" w:bidi="en-US"/>
          <w14:ligatures w14:val="standardContextual"/>
        </w:rPr>
        <w:t>corruption enforcement is not sufficiently</w:t>
      </w:r>
      <w:r>
        <w:rPr>
          <w:rFonts w:eastAsia="Calibri"/>
          <w:noProof/>
          <w:color w:val="000000"/>
          <w:szCs w:val="24"/>
          <w:shd w:val="clear" w:color="auto" w:fill="FFFFFF"/>
          <w:lang w:eastAsia="en-GB" w:bidi="en-US"/>
          <w14:ligatures w14:val="standardContextual"/>
        </w:rPr>
        <w:t xml:space="preserve"> </w:t>
      </w:r>
      <w:r w:rsidRPr="77802561">
        <w:rPr>
          <w:rFonts w:eastAsia="Calibri"/>
          <w:noProof/>
          <w:color w:val="000000"/>
          <w:shd w:val="clear" w:color="auto" w:fill="FFFFFF"/>
          <w:lang w:eastAsia="en-GB" w:bidi="en-US"/>
          <w14:ligatures w14:val="standardContextual"/>
        </w:rPr>
        <w:t xml:space="preserve">informed by transparent and systematic statistical </w:t>
      </w:r>
      <w:r w:rsidRPr="77802561">
        <w:rPr>
          <w:rFonts w:eastAsia="Calibri"/>
          <w:noProof/>
          <w:color w:val="000000" w:themeColor="text1"/>
          <w:lang w:eastAsia="en-GB" w:bidi="en-US"/>
          <w14:ligatures w14:val="standardContextual"/>
        </w:rPr>
        <w:t>data</w:t>
      </w:r>
      <w:r>
        <w:rPr>
          <w:rStyle w:val="FootnoteReference"/>
          <w:rFonts w:eastAsia="Calibri"/>
          <w:noProof/>
          <w:color w:val="000000"/>
          <w:szCs w:val="24"/>
          <w:shd w:val="clear" w:color="auto" w:fill="FFFFFF"/>
          <w:lang w:eastAsia="en-GB" w:bidi="en-US"/>
          <w14:ligatures w14:val="standardContextual"/>
        </w:rPr>
        <w:footnoteReference w:id="83"/>
      </w:r>
      <w:r>
        <w:rPr>
          <w:rFonts w:eastAsia="Calibri"/>
          <w:noProof/>
          <w:color w:val="000000" w:themeColor="text1"/>
          <w:lang w:eastAsia="en-GB" w:bidi="en-US"/>
          <w14:ligatures w14:val="standardContextual"/>
        </w:rPr>
        <w:t xml:space="preserve">. </w:t>
      </w:r>
      <w:r w:rsidRPr="00EE8D8C">
        <w:rPr>
          <w:rFonts w:eastAsia="Calibri"/>
          <w:noProof/>
          <w:lang w:bidi="en-US"/>
          <w14:ligatures w14:val="standardContextual"/>
        </w:rPr>
        <w:t>The Police Internal Affairs Service (PIAS) continued to actively investigate allegations of police misconduct.</w:t>
      </w:r>
      <w:r>
        <w:rPr>
          <w:rFonts w:eastAsia="Calibri"/>
          <w:noProof/>
          <w:lang w:bidi="en-US"/>
          <w14:ligatures w14:val="standardContextual"/>
        </w:rPr>
        <w:t xml:space="preserve"> </w:t>
      </w:r>
      <w:r w:rsidRPr="77802561">
        <w:rPr>
          <w:rFonts w:eastAsia="Calibri"/>
          <w:noProof/>
          <w:lang w:bidi="en-US"/>
        </w:rPr>
        <w:t>In 2025, it examined 23 reports of possible police involvement in acts of corruption (compared to 22 in 2024). Of these, three cases have led to criminal prosecution and are pending before the court, while 7 cases are pending investigation</w:t>
      </w:r>
      <w:r w:rsidRPr="77802561">
        <w:rPr>
          <w:rFonts w:eastAsia="Calibri"/>
          <w:noProof/>
          <w:vertAlign w:val="superscript"/>
          <w:lang w:bidi="en-US"/>
        </w:rPr>
        <w:footnoteReference w:id="84"/>
      </w:r>
      <w:r w:rsidRPr="77802561">
        <w:rPr>
          <w:rFonts w:eastAsia="Calibri"/>
          <w:noProof/>
          <w:lang w:bidi="en-US"/>
        </w:rPr>
        <w:t xml:space="preserve">. </w:t>
      </w:r>
    </w:p>
    <w:bookmarkEnd w:id="15"/>
    <w:p w14:paraId="7C4CB58C" w14:textId="64C7377C" w:rsidR="0040534C" w:rsidRPr="00D44A42" w:rsidRDefault="0040534C" w:rsidP="0040534C">
      <w:pPr>
        <w:widowControl w:val="0"/>
        <w:rPr>
          <w:rFonts w:eastAsia="Calibri"/>
          <w:noProof/>
          <w:color w:val="000000"/>
          <w:shd w:val="clear" w:color="auto" w:fill="FFFFFF"/>
          <w:lang w:eastAsia="en-GB" w:bidi="en-US"/>
          <w14:ligatures w14:val="standardContextual"/>
        </w:rPr>
      </w:pPr>
      <w:r>
        <w:rPr>
          <w:rFonts w:eastAsia="Calibri"/>
          <w:b/>
          <w:bCs/>
          <w:noProof/>
          <w:lang w:bidi="en-US"/>
          <w14:ligatures w14:val="standardContextual"/>
        </w:rPr>
        <w:t>New police structures r</w:t>
      </w:r>
      <w:r w:rsidRPr="00622738">
        <w:rPr>
          <w:rFonts w:eastAsia="Calibri"/>
          <w:b/>
          <w:noProof/>
          <w:lang w:bidi="en-US"/>
          <w14:ligatures w14:val="standardContextual"/>
        </w:rPr>
        <w:t>elevant for the fight against corruption</w:t>
      </w:r>
      <w:r>
        <w:rPr>
          <w:rFonts w:eastAsia="Calibri"/>
          <w:b/>
          <w:bCs/>
          <w:noProof/>
          <w:lang w:bidi="en-US"/>
          <w14:ligatures w14:val="standardContextual"/>
        </w:rPr>
        <w:t xml:space="preserve"> are being created</w:t>
      </w:r>
      <w:r w:rsidRPr="00EE8D8C">
        <w:rPr>
          <w:rFonts w:eastAsia="Calibri"/>
          <w:b/>
          <w:bCs/>
          <w:noProof/>
          <w:lang w:bidi="en-US"/>
          <w14:ligatures w14:val="standardContextual"/>
        </w:rPr>
        <w:t xml:space="preserve"> and there are calls for specific trainings for judges and prosecutors.</w:t>
      </w:r>
      <w:r w:rsidRPr="00EE8D8C">
        <w:rPr>
          <w:noProof/>
          <w:lang w:bidi="en-US"/>
          <w14:ligatures w14:val="standardContextual"/>
        </w:rPr>
        <w:t xml:space="preserve"> </w:t>
      </w:r>
      <w:r w:rsidRPr="00EE8D8C">
        <w:rPr>
          <w:rFonts w:eastAsia="Calibri"/>
          <w:noProof/>
          <w:color w:val="000000"/>
          <w:shd w:val="clear" w:color="auto" w:fill="FFFFFF"/>
          <w:lang w:eastAsia="en-GB" w:bidi="en-US"/>
          <w14:ligatures w14:val="standardContextual"/>
        </w:rPr>
        <w:t>In December 2025, the establishment of the Directorate for Combating Organised Crime (DCOC) was announced</w:t>
      </w:r>
      <w:r>
        <w:rPr>
          <w:rStyle w:val="FootnoteReference"/>
          <w:rFonts w:eastAsia="Calibri"/>
          <w:noProof/>
          <w:color w:val="000000" w:themeColor="text1"/>
          <w:lang w:eastAsia="en-GB" w:bidi="en-US"/>
        </w:rPr>
        <w:footnoteReference w:id="85"/>
      </w:r>
      <w:r>
        <w:rPr>
          <w:rFonts w:eastAsia="Calibri"/>
          <w:noProof/>
          <w:color w:val="000000"/>
          <w:shd w:val="clear" w:color="auto" w:fill="FFFFFF"/>
          <w:lang w:eastAsia="en-GB" w:bidi="en-US"/>
          <w14:ligatures w14:val="standardContextual"/>
        </w:rPr>
        <w:t>, which</w:t>
      </w:r>
      <w:r w:rsidRPr="00EE8D8C">
        <w:rPr>
          <w:rFonts w:eastAsia="Calibri"/>
          <w:noProof/>
          <w:color w:val="000000"/>
          <w:shd w:val="clear" w:color="auto" w:fill="FFFFFF"/>
          <w:lang w:eastAsia="en-GB" w:bidi="en-US"/>
          <w14:ligatures w14:val="standardContextual"/>
        </w:rPr>
        <w:t xml:space="preserve"> </w:t>
      </w:r>
      <w:r>
        <w:rPr>
          <w:rFonts w:eastAsia="Calibri"/>
          <w:noProof/>
          <w:color w:val="000000"/>
          <w:shd w:val="clear" w:color="auto" w:fill="FFFFFF"/>
          <w:lang w:eastAsia="en-GB" w:bidi="en-US"/>
          <w14:ligatures w14:val="standardContextual"/>
        </w:rPr>
        <w:t>is expected to</w:t>
      </w:r>
      <w:r w:rsidRPr="0046760A">
        <w:rPr>
          <w:rFonts w:eastAsia="Calibri"/>
          <w:noProof/>
          <w:color w:val="000000"/>
          <w:shd w:val="clear" w:color="auto" w:fill="FFFFFF"/>
          <w:lang w:eastAsia="en-GB" w:bidi="en-US"/>
          <w14:ligatures w14:val="standardContextual"/>
        </w:rPr>
        <w:t xml:space="preserve"> play a</w:t>
      </w:r>
      <w:r>
        <w:rPr>
          <w:rFonts w:eastAsia="Calibri"/>
          <w:noProof/>
          <w:color w:val="000000"/>
          <w:shd w:val="clear" w:color="auto" w:fill="FFFFFF"/>
          <w:lang w:eastAsia="en-GB" w:bidi="en-US"/>
          <w14:ligatures w14:val="standardContextual"/>
        </w:rPr>
        <w:t xml:space="preserve">n important </w:t>
      </w:r>
      <w:r w:rsidRPr="0046760A">
        <w:rPr>
          <w:rFonts w:eastAsia="Calibri"/>
          <w:noProof/>
          <w:color w:val="000000"/>
          <w:shd w:val="clear" w:color="auto" w:fill="FFFFFF"/>
          <w:lang w:eastAsia="en-GB" w:bidi="en-US"/>
          <w14:ligatures w14:val="standardContextual"/>
        </w:rPr>
        <w:t>role in the fight against corruption</w:t>
      </w:r>
      <w:r>
        <w:rPr>
          <w:rStyle w:val="FootnoteReference"/>
          <w:rFonts w:eastAsia="Calibri"/>
          <w:noProof/>
          <w:color w:val="000000"/>
          <w:shd w:val="clear" w:color="auto" w:fill="FFFFFF"/>
          <w:lang w:eastAsia="en-GB" w:bidi="en-US"/>
          <w14:ligatures w14:val="standardContextual"/>
        </w:rPr>
        <w:footnoteReference w:id="86"/>
      </w:r>
      <w:r w:rsidRPr="0046760A">
        <w:rPr>
          <w:rFonts w:eastAsia="Calibri"/>
          <w:noProof/>
          <w:color w:val="000000"/>
          <w:shd w:val="clear" w:color="auto" w:fill="FFFFFF"/>
          <w:lang w:eastAsia="en-GB" w:bidi="en-US"/>
          <w14:ligatures w14:val="standardContextual"/>
        </w:rPr>
        <w:t xml:space="preserve">. </w:t>
      </w:r>
      <w:r w:rsidRPr="00EE8D8C">
        <w:rPr>
          <w:rFonts w:eastAsia="Calibri"/>
          <w:noProof/>
          <w:lang w:bidi="en-US"/>
          <w14:ligatures w14:val="standardContextual"/>
        </w:rPr>
        <w:t xml:space="preserve">The staff of the Financial Crime Sub-Directorate of the Cyprus Police increased by two members over 2025 </w:t>
      </w:r>
      <w:r w:rsidR="003D4011">
        <w:rPr>
          <w:rFonts w:eastAsia="Calibri"/>
          <w:noProof/>
          <w:lang w:bidi="en-US"/>
          <w14:ligatures w14:val="standardContextual"/>
        </w:rPr>
        <w:t>and f</w:t>
      </w:r>
      <w:r w:rsidR="000D0E49" w:rsidRPr="000D0E49">
        <w:rPr>
          <w:rFonts w:eastAsia="Calibri"/>
          <w:noProof/>
          <w:lang w:bidi="en-US"/>
          <w14:ligatures w14:val="standardContextual"/>
        </w:rPr>
        <w:t xml:space="preserve">our members </w:t>
      </w:r>
      <w:r w:rsidR="000D0E49">
        <w:rPr>
          <w:rFonts w:eastAsia="Calibri"/>
          <w:noProof/>
          <w:lang w:bidi="en-US"/>
          <w14:ligatures w14:val="standardContextual"/>
        </w:rPr>
        <w:t>who</w:t>
      </w:r>
      <w:r w:rsidR="000D0E49" w:rsidRPr="000D0E49">
        <w:rPr>
          <w:rFonts w:eastAsia="Calibri"/>
          <w:noProof/>
          <w:lang w:bidi="en-US"/>
          <w14:ligatures w14:val="standardContextual"/>
        </w:rPr>
        <w:t xml:space="preserve"> were seconded are expected to return </w:t>
      </w:r>
      <w:r w:rsidR="00335D08">
        <w:rPr>
          <w:rFonts w:eastAsia="Calibri"/>
          <w:noProof/>
          <w:lang w:bidi="en-US"/>
          <w14:ligatures w14:val="standardContextual"/>
        </w:rPr>
        <w:t xml:space="preserve">to the service </w:t>
      </w:r>
      <w:r w:rsidR="000D0E49" w:rsidRPr="000D0E49">
        <w:rPr>
          <w:rFonts w:eastAsia="Calibri"/>
          <w:noProof/>
          <w:lang w:bidi="en-US"/>
          <w14:ligatures w14:val="standardContextual"/>
        </w:rPr>
        <w:t>at the end of June 2026</w:t>
      </w:r>
      <w:r w:rsidRPr="00EE8D8C">
        <w:rPr>
          <w:noProof/>
          <w:vertAlign w:val="superscript"/>
          <w:lang w:bidi="en-US"/>
          <w14:ligatures w14:val="standardContextual"/>
        </w:rPr>
        <w:footnoteReference w:id="87"/>
      </w:r>
      <w:r w:rsidR="009C3F18">
        <w:rPr>
          <w:noProof/>
          <w:lang w:bidi="en-US"/>
          <w14:ligatures w14:val="standardContextual"/>
        </w:rPr>
        <w:t>.</w:t>
      </w:r>
      <w:r w:rsidR="007D55C4">
        <w:rPr>
          <w:noProof/>
          <w:lang w:bidi="en-US"/>
          <w14:ligatures w14:val="standardContextual"/>
        </w:rPr>
        <w:t xml:space="preserve"> </w:t>
      </w:r>
      <w:r w:rsidRPr="00EE8D8C">
        <w:rPr>
          <w:rFonts w:eastAsia="Calibri"/>
          <w:noProof/>
          <w:color w:val="000000"/>
          <w:lang w:bidi="en-US"/>
          <w14:ligatures w14:val="standardContextual"/>
        </w:rPr>
        <w:t>Civil society has voiced its concerns about</w:t>
      </w:r>
      <w:r w:rsidRPr="00FE430F">
        <w:rPr>
          <w:rFonts w:eastAsia="Calibri"/>
          <w:noProof/>
          <w:color w:val="000000" w:themeColor="text1"/>
          <w:lang w:bidi="en-US"/>
        </w:rPr>
        <w:t xml:space="preserve"> </w:t>
      </w:r>
      <w:r>
        <w:rPr>
          <w:rFonts w:eastAsia="Calibri"/>
          <w:noProof/>
          <w:color w:val="000000" w:themeColor="text1"/>
          <w:lang w:bidi="en-US"/>
        </w:rPr>
        <w:t xml:space="preserve">delays in </w:t>
      </w:r>
      <w:r w:rsidRPr="00EE8D8C">
        <w:rPr>
          <w:rFonts w:eastAsia="Calibri"/>
          <w:noProof/>
          <w:color w:val="000000"/>
          <w:lang w:bidi="en-US"/>
          <w14:ligatures w14:val="standardContextual"/>
        </w:rPr>
        <w:t xml:space="preserve">investigative and court proceedings, </w:t>
      </w:r>
      <w:r>
        <w:rPr>
          <w:rFonts w:eastAsia="Calibri"/>
          <w:noProof/>
          <w:color w:val="000000"/>
          <w:lang w:bidi="en-US"/>
          <w14:ligatures w14:val="standardContextual"/>
        </w:rPr>
        <w:t>as well as</w:t>
      </w:r>
      <w:r w:rsidRPr="00EE8D8C">
        <w:rPr>
          <w:rFonts w:eastAsia="Calibri"/>
          <w:noProof/>
          <w:color w:val="000000"/>
          <w:lang w:bidi="en-US"/>
          <w14:ligatures w14:val="standardContextual"/>
        </w:rPr>
        <w:t xml:space="preserve"> a perceived lack of timely and dissuasive outcomes in the </w:t>
      </w:r>
      <w:r>
        <w:rPr>
          <w:rFonts w:eastAsia="Calibri"/>
          <w:noProof/>
          <w:color w:val="000000"/>
          <w:lang w:bidi="en-US"/>
          <w14:ligatures w14:val="standardContextual"/>
        </w:rPr>
        <w:t>handling of</w:t>
      </w:r>
      <w:r w:rsidRPr="00EE8D8C">
        <w:rPr>
          <w:rFonts w:eastAsia="Calibri"/>
          <w:noProof/>
          <w:color w:val="000000"/>
          <w:lang w:bidi="en-US"/>
          <w14:ligatures w14:val="standardContextual"/>
        </w:rPr>
        <w:t xml:space="preserve"> high-level cases,</w:t>
      </w:r>
      <w:r>
        <w:rPr>
          <w:rFonts w:eastAsia="Calibri"/>
          <w:noProof/>
          <w:color w:val="000000"/>
          <w:lang w:bidi="en-US"/>
          <w14:ligatures w14:val="standardContextual"/>
        </w:rPr>
        <w:t xml:space="preserve"> and</w:t>
      </w:r>
      <w:r w:rsidRPr="00EE8D8C">
        <w:rPr>
          <w:rFonts w:eastAsia="Calibri"/>
          <w:noProof/>
          <w:color w:val="000000"/>
          <w:lang w:bidi="en-US"/>
          <w14:ligatures w14:val="standardContextual"/>
        </w:rPr>
        <w:t xml:space="preserve"> advocat</w:t>
      </w:r>
      <w:r>
        <w:rPr>
          <w:rFonts w:eastAsia="Calibri"/>
          <w:noProof/>
          <w:color w:val="000000"/>
          <w:lang w:bidi="en-US"/>
          <w14:ligatures w14:val="standardContextual"/>
        </w:rPr>
        <w:t>es</w:t>
      </w:r>
      <w:r w:rsidRPr="00EE8D8C">
        <w:rPr>
          <w:rFonts w:eastAsia="Calibri"/>
          <w:noProof/>
          <w:color w:val="000000"/>
          <w:lang w:bidi="en-US"/>
          <w14:ligatures w14:val="standardContextual"/>
        </w:rPr>
        <w:t xml:space="preserve"> for</w:t>
      </w:r>
      <w:r w:rsidRPr="00FE430F">
        <w:rPr>
          <w:rFonts w:eastAsia="Calibri"/>
          <w:noProof/>
          <w:color w:val="000000"/>
          <w:lang w:bidi="en-US"/>
          <w14:ligatures w14:val="standardContextual"/>
        </w:rPr>
        <w:t xml:space="preserve"> </w:t>
      </w:r>
      <w:r>
        <w:rPr>
          <w:rFonts w:eastAsia="Calibri"/>
          <w:noProof/>
          <w:color w:val="000000"/>
          <w:lang w:bidi="en-US"/>
          <w14:ligatures w14:val="standardContextual"/>
        </w:rPr>
        <w:t>greater</w:t>
      </w:r>
      <w:r w:rsidRPr="00EE8D8C">
        <w:rPr>
          <w:rFonts w:eastAsia="Calibri"/>
          <w:noProof/>
          <w:color w:val="000000"/>
          <w:lang w:bidi="en-US"/>
          <w14:ligatures w14:val="standardContextual"/>
        </w:rPr>
        <w:t xml:space="preserve"> specialisation and resources</w:t>
      </w:r>
      <w:r w:rsidRPr="00EE8D8C">
        <w:rPr>
          <w:rFonts w:eastAsia="Calibri"/>
          <w:noProof/>
          <w:color w:val="000000"/>
          <w:vertAlign w:val="superscript"/>
          <w:lang w:bidi="en-US"/>
          <w14:ligatures w14:val="standardContextual"/>
        </w:rPr>
        <w:footnoteReference w:id="88"/>
      </w:r>
      <w:r w:rsidRPr="00EE8D8C">
        <w:rPr>
          <w:rFonts w:eastAsia="Calibri"/>
          <w:noProof/>
          <w:color w:val="000000"/>
          <w:lang w:bidi="en-US"/>
          <w14:ligatures w14:val="standardContextual"/>
        </w:rPr>
        <w:t xml:space="preserve">. </w:t>
      </w:r>
      <w:r w:rsidRPr="00EE8D8C">
        <w:rPr>
          <w:noProof/>
          <w:lang w:bidi="en-US"/>
          <w14:ligatures w14:val="standardContextual"/>
        </w:rPr>
        <w:t xml:space="preserve">Stakeholders </w:t>
      </w:r>
      <w:r>
        <w:rPr>
          <w:noProof/>
          <w:lang w:bidi="en-US"/>
          <w14:ligatures w14:val="standardContextual"/>
        </w:rPr>
        <w:t>have called</w:t>
      </w:r>
      <w:r w:rsidRPr="00EE8D8C">
        <w:rPr>
          <w:noProof/>
          <w:lang w:bidi="en-US"/>
          <w14:ligatures w14:val="standardContextual"/>
        </w:rPr>
        <w:t xml:space="preserve"> for more </w:t>
      </w:r>
      <w:r>
        <w:rPr>
          <w:noProof/>
          <w:lang w:bidi="en-US"/>
          <w14:ligatures w14:val="standardContextual"/>
        </w:rPr>
        <w:t>targeted</w:t>
      </w:r>
      <w:r w:rsidRPr="00EE8D8C">
        <w:rPr>
          <w:noProof/>
          <w:lang w:bidi="en-US"/>
          <w14:ligatures w14:val="standardContextual"/>
        </w:rPr>
        <w:t xml:space="preserve"> training for judges and prosecutors in the field of corruption</w:t>
      </w:r>
      <w:r w:rsidRPr="00EE8D8C">
        <w:rPr>
          <w:noProof/>
          <w:vertAlign w:val="superscript"/>
          <w:lang w:bidi="en-US"/>
          <w14:ligatures w14:val="standardContextual"/>
        </w:rPr>
        <w:footnoteReference w:id="89"/>
      </w:r>
      <w:r w:rsidRPr="00EE8D8C">
        <w:rPr>
          <w:noProof/>
          <w:lang w:bidi="en-US"/>
          <w14:ligatures w14:val="standardContextual"/>
        </w:rPr>
        <w:t>.</w:t>
      </w:r>
    </w:p>
    <w:p w14:paraId="25DDAAE8" w14:textId="6A293954" w:rsidR="0040534C" w:rsidRDefault="0040534C" w:rsidP="0040534C">
      <w:pPr>
        <w:rPr>
          <w:noProof/>
        </w:rPr>
      </w:pPr>
      <w:bookmarkStart w:id="18" w:name="_Hlk158649715"/>
      <w:bookmarkStart w:id="19" w:name="_Hlk156312452"/>
      <w:bookmarkStart w:id="20" w:name="_Hlk196817944"/>
      <w:r w:rsidRPr="00571CC4">
        <w:rPr>
          <w:rFonts w:eastAsia="Calibri"/>
          <w:b/>
          <w:bCs/>
          <w:noProof/>
        </w:rPr>
        <w:t>New legislation on asset declarations for elected</w:t>
      </w:r>
      <w:r>
        <w:rPr>
          <w:rFonts w:eastAsia="Calibri"/>
          <w:b/>
          <w:bCs/>
          <w:noProof/>
        </w:rPr>
        <w:t xml:space="preserve"> and appointed</w:t>
      </w:r>
      <w:r w:rsidRPr="00571CC4">
        <w:rPr>
          <w:rFonts w:eastAsia="Calibri"/>
          <w:b/>
          <w:bCs/>
          <w:noProof/>
        </w:rPr>
        <w:t xml:space="preserve"> officials </w:t>
      </w:r>
      <w:r>
        <w:rPr>
          <w:rFonts w:eastAsia="Calibri"/>
          <w:b/>
          <w:bCs/>
          <w:noProof/>
        </w:rPr>
        <w:t>started to apply</w:t>
      </w:r>
      <w:r w:rsidRPr="00571CC4">
        <w:rPr>
          <w:rFonts w:eastAsia="Calibri"/>
          <w:b/>
          <w:bCs/>
          <w:noProof/>
        </w:rPr>
        <w:t xml:space="preserve"> </w:t>
      </w:r>
      <w:r w:rsidRPr="006456CE">
        <w:rPr>
          <w:rFonts w:eastAsia="Calibri"/>
          <w:b/>
          <w:bCs/>
          <w:noProof/>
        </w:rPr>
        <w:t>and</w:t>
      </w:r>
      <w:r w:rsidR="005A0CA4">
        <w:rPr>
          <w:rFonts w:eastAsia="Calibri"/>
          <w:b/>
          <w:bCs/>
          <w:noProof/>
        </w:rPr>
        <w:t xml:space="preserve">, as regards post-employment, </w:t>
      </w:r>
      <w:r w:rsidR="00031A52">
        <w:rPr>
          <w:rFonts w:eastAsia="Calibri"/>
          <w:b/>
          <w:bCs/>
          <w:noProof/>
        </w:rPr>
        <w:t xml:space="preserve">a new law has </w:t>
      </w:r>
      <w:r w:rsidR="004C6520">
        <w:rPr>
          <w:rFonts w:eastAsia="Calibri"/>
          <w:b/>
          <w:bCs/>
          <w:noProof/>
        </w:rPr>
        <w:t>enhance</w:t>
      </w:r>
      <w:r w:rsidR="0035750D">
        <w:rPr>
          <w:rFonts w:eastAsia="Calibri"/>
          <w:b/>
          <w:bCs/>
          <w:noProof/>
        </w:rPr>
        <w:t>d restrictions</w:t>
      </w:r>
      <w:r w:rsidR="005E3D3D">
        <w:rPr>
          <w:rFonts w:eastAsia="Calibri"/>
          <w:b/>
          <w:bCs/>
          <w:noProof/>
        </w:rPr>
        <w:t xml:space="preserve"> while </w:t>
      </w:r>
      <w:r w:rsidRPr="006456CE">
        <w:rPr>
          <w:rFonts w:eastAsia="Calibri"/>
          <w:b/>
          <w:bCs/>
          <w:noProof/>
        </w:rPr>
        <w:t xml:space="preserve">initiatives are underway to </w:t>
      </w:r>
      <w:r w:rsidRPr="006E7A3A">
        <w:rPr>
          <w:rFonts w:eastAsia="Calibri"/>
          <w:b/>
          <w:bCs/>
          <w:noProof/>
        </w:rPr>
        <w:t xml:space="preserve">expand the </w:t>
      </w:r>
      <w:r w:rsidR="007C09D1">
        <w:rPr>
          <w:rFonts w:eastAsia="Calibri"/>
          <w:b/>
          <w:bCs/>
          <w:noProof/>
        </w:rPr>
        <w:t>categories</w:t>
      </w:r>
      <w:r w:rsidR="007A0217" w:rsidRPr="00402CA3">
        <w:rPr>
          <w:rFonts w:eastAsia="Calibri"/>
          <w:b/>
          <w:bCs/>
          <w:noProof/>
        </w:rPr>
        <w:t xml:space="preserve"> of persons subject to oversight</w:t>
      </w:r>
      <w:r w:rsidRPr="006E7A3A">
        <w:rPr>
          <w:rFonts w:eastAsia="Calibri"/>
          <w:b/>
          <w:bCs/>
          <w:noProof/>
        </w:rPr>
        <w:t>.</w:t>
      </w:r>
      <w:bookmarkStart w:id="21" w:name="_Hlk222125857"/>
      <w:r w:rsidRPr="006E7A3A">
        <w:rPr>
          <w:rFonts w:eastAsia="Calibri"/>
          <w:b/>
          <w:bCs/>
          <w:noProof/>
        </w:rPr>
        <w:t xml:space="preserve"> </w:t>
      </w:r>
      <w:r w:rsidRPr="006E7A3A">
        <w:rPr>
          <w:noProof/>
        </w:rPr>
        <w:t xml:space="preserve">For </w:t>
      </w:r>
      <w:r w:rsidRPr="006E7A3A">
        <w:rPr>
          <w:rFonts w:eastAsia="Calibri"/>
          <w:noProof/>
        </w:rPr>
        <w:t>the President, ministers and parliamentarians,</w:t>
      </w:r>
      <w:r w:rsidRPr="006E7A3A">
        <w:rPr>
          <w:noProof/>
        </w:rPr>
        <w:t xml:space="preserve"> the </w:t>
      </w:r>
      <w:r>
        <w:rPr>
          <w:noProof/>
        </w:rPr>
        <w:t xml:space="preserve">application of the </w:t>
      </w:r>
      <w:r w:rsidRPr="006E7A3A">
        <w:rPr>
          <w:noProof/>
        </w:rPr>
        <w:t>new legislative framework</w:t>
      </w:r>
      <w:r w:rsidRPr="006E7A3A">
        <w:rPr>
          <w:rStyle w:val="FootnoteReference"/>
          <w:noProof/>
        </w:rPr>
        <w:footnoteReference w:id="90"/>
      </w:r>
      <w:r w:rsidRPr="006E7A3A">
        <w:rPr>
          <w:noProof/>
        </w:rPr>
        <w:t xml:space="preserve"> will be assessed for the first time </w:t>
      </w:r>
      <w:bookmarkEnd w:id="21"/>
      <w:r w:rsidRPr="006E7A3A">
        <w:rPr>
          <w:noProof/>
        </w:rPr>
        <w:t>following the parliamentary elections of May 2026, once the newly elected Members of the House of Representatives have assumed office</w:t>
      </w:r>
      <w:r w:rsidRPr="006E7A3A">
        <w:rPr>
          <w:noProof/>
          <w:vertAlign w:val="superscript"/>
        </w:rPr>
        <w:footnoteReference w:id="91"/>
      </w:r>
      <w:r w:rsidRPr="006E7A3A">
        <w:rPr>
          <w:rFonts w:eastAsia="Calibri"/>
          <w:noProof/>
        </w:rPr>
        <w:t>. For appointed officials (including politically exposed persons)</w:t>
      </w:r>
      <w:r w:rsidRPr="006E7A3A">
        <w:rPr>
          <w:rStyle w:val="FootnoteReference"/>
          <w:rFonts w:eastAsia="Calibri"/>
          <w:noProof/>
        </w:rPr>
        <w:footnoteReference w:id="92"/>
      </w:r>
      <w:r w:rsidRPr="006E7A3A">
        <w:rPr>
          <w:rFonts w:eastAsia="Calibri"/>
          <w:noProof/>
        </w:rPr>
        <w:t xml:space="preserve">, </w:t>
      </w:r>
      <w:r w:rsidRPr="004F4336">
        <w:rPr>
          <w:rFonts w:eastAsia="Calibri" w:cs="Arial"/>
          <w:noProof/>
        </w:rPr>
        <w:t xml:space="preserve">approximately 150 have completed the process of electronically submitting </w:t>
      </w:r>
      <w:r>
        <w:rPr>
          <w:rFonts w:eastAsia="Calibri" w:cs="Arial"/>
          <w:noProof/>
        </w:rPr>
        <w:t>a</w:t>
      </w:r>
      <w:r w:rsidRPr="004F4336">
        <w:rPr>
          <w:rFonts w:eastAsia="Calibri" w:cs="Arial"/>
          <w:noProof/>
        </w:rPr>
        <w:t xml:space="preserve">sset </w:t>
      </w:r>
      <w:r>
        <w:rPr>
          <w:rFonts w:eastAsia="Calibri" w:cs="Arial"/>
          <w:noProof/>
        </w:rPr>
        <w:t>d</w:t>
      </w:r>
      <w:r w:rsidRPr="004F4336">
        <w:rPr>
          <w:rFonts w:eastAsia="Calibri" w:cs="Arial"/>
          <w:noProof/>
        </w:rPr>
        <w:t xml:space="preserve">eclarations through the digital platform. In addition, approximately 30 officials or politically exposed persons have submitted </w:t>
      </w:r>
      <w:r>
        <w:rPr>
          <w:rFonts w:eastAsia="Calibri" w:cs="Arial"/>
          <w:noProof/>
        </w:rPr>
        <w:t>s</w:t>
      </w:r>
      <w:r w:rsidRPr="004F4336">
        <w:rPr>
          <w:rFonts w:eastAsia="Calibri" w:cs="Arial"/>
          <w:noProof/>
        </w:rPr>
        <w:t xml:space="preserve">tatements of </w:t>
      </w:r>
      <w:r>
        <w:rPr>
          <w:rFonts w:eastAsia="Calibri" w:cs="Arial"/>
          <w:noProof/>
        </w:rPr>
        <w:t>a</w:t>
      </w:r>
      <w:r w:rsidRPr="004F4336">
        <w:rPr>
          <w:rFonts w:eastAsia="Calibri" w:cs="Arial"/>
          <w:noProof/>
        </w:rPr>
        <w:t xml:space="preserve">ssets and </w:t>
      </w:r>
      <w:r>
        <w:rPr>
          <w:rFonts w:eastAsia="Calibri" w:cs="Arial"/>
          <w:noProof/>
        </w:rPr>
        <w:t>l</w:t>
      </w:r>
      <w:r w:rsidRPr="004F4336">
        <w:rPr>
          <w:rFonts w:eastAsia="Calibri" w:cs="Arial"/>
          <w:noProof/>
        </w:rPr>
        <w:t>iabilities, which are publicly disclosed</w:t>
      </w:r>
      <w:r>
        <w:rPr>
          <w:rStyle w:val="FootnoteReference"/>
          <w:rFonts w:eastAsia="Calibri" w:cs="Arial"/>
          <w:noProof/>
        </w:rPr>
        <w:footnoteReference w:id="93"/>
      </w:r>
      <w:r w:rsidRPr="006E7A3A">
        <w:rPr>
          <w:rFonts w:eastAsia="Calibri"/>
          <w:noProof/>
        </w:rPr>
        <w:t xml:space="preserve">. </w:t>
      </w:r>
      <w:r w:rsidRPr="001420BD">
        <w:rPr>
          <w:rFonts w:eastAsia="Calibri"/>
          <w:noProof/>
        </w:rPr>
        <w:t xml:space="preserve">GRECO identified some </w:t>
      </w:r>
      <w:r>
        <w:rPr>
          <w:rFonts w:eastAsia="Calibri"/>
          <w:noProof/>
        </w:rPr>
        <w:t>shortcomings in</w:t>
      </w:r>
      <w:r w:rsidRPr="001420BD">
        <w:rPr>
          <w:rFonts w:eastAsia="Calibri"/>
          <w:noProof/>
        </w:rPr>
        <w:t xml:space="preserve"> the new legislation as regards regular reporting and sanctions for non-submission or late submission</w:t>
      </w:r>
      <w:r w:rsidRPr="001420BD">
        <w:rPr>
          <w:rStyle w:val="FootnoteReference"/>
          <w:rFonts w:eastAsia="Calibri"/>
          <w:noProof/>
        </w:rPr>
        <w:footnoteReference w:id="94"/>
      </w:r>
      <w:r w:rsidRPr="001420BD">
        <w:rPr>
          <w:rFonts w:eastAsia="Calibri"/>
          <w:noProof/>
        </w:rPr>
        <w:t>.</w:t>
      </w:r>
      <w:r w:rsidRPr="001420BD">
        <w:rPr>
          <w:noProof/>
        </w:rPr>
        <w:t xml:space="preserve"> </w:t>
      </w:r>
      <w:r w:rsidR="00353529" w:rsidRPr="00353529">
        <w:rPr>
          <w:noProof/>
        </w:rPr>
        <w:t xml:space="preserve">The Minister of Justice and Public Order </w:t>
      </w:r>
      <w:r w:rsidR="00A96EDA">
        <w:rPr>
          <w:noProof/>
        </w:rPr>
        <w:t xml:space="preserve">has </w:t>
      </w:r>
      <w:r w:rsidR="00353529" w:rsidRPr="00353529">
        <w:rPr>
          <w:noProof/>
        </w:rPr>
        <w:t xml:space="preserve">requested the assistance of the Law Commissioner </w:t>
      </w:r>
      <w:r w:rsidR="00C91868">
        <w:rPr>
          <w:noProof/>
        </w:rPr>
        <w:t>for</w:t>
      </w:r>
      <w:r w:rsidR="00353529" w:rsidRPr="00353529">
        <w:rPr>
          <w:noProof/>
        </w:rPr>
        <w:t xml:space="preserve"> preparing a bill to address these shortcomings</w:t>
      </w:r>
      <w:r w:rsidR="00353529">
        <w:rPr>
          <w:rStyle w:val="FootnoteReference"/>
          <w:noProof/>
        </w:rPr>
        <w:footnoteReference w:id="95"/>
      </w:r>
      <w:r w:rsidR="00353529" w:rsidRPr="00353529">
        <w:rPr>
          <w:noProof/>
        </w:rPr>
        <w:t>.</w:t>
      </w:r>
      <w:r w:rsidR="00353529">
        <w:rPr>
          <w:noProof/>
        </w:rPr>
        <w:t xml:space="preserve"> </w:t>
      </w:r>
      <w:r w:rsidRPr="001420BD">
        <w:rPr>
          <w:noProof/>
        </w:rPr>
        <w:t>As regards post-employment, in June 2024, the Presidency instructed the Law Commissioner to prepare a bill, under which the categories of persons subject to oversight will be further expanded, as recommended by GRECO</w:t>
      </w:r>
      <w:r w:rsidRPr="001420BD">
        <w:rPr>
          <w:rStyle w:val="FootnoteReference"/>
          <w:noProof/>
        </w:rPr>
        <w:footnoteReference w:id="96"/>
      </w:r>
      <w:r w:rsidRPr="001420BD">
        <w:rPr>
          <w:rFonts w:eastAsia="Calibri"/>
          <w:noProof/>
        </w:rPr>
        <w:t>.</w:t>
      </w:r>
      <w:r w:rsidRPr="001420BD">
        <w:rPr>
          <w:noProof/>
        </w:rPr>
        <w:t xml:space="preserve"> </w:t>
      </w:r>
      <w:r w:rsidR="00D80907" w:rsidRPr="0067324C">
        <w:rPr>
          <w:noProof/>
        </w:rPr>
        <w:t>In March 2026, the bill underwent public consultation and</w:t>
      </w:r>
      <w:r w:rsidRPr="001420BD">
        <w:rPr>
          <w:noProof/>
        </w:rPr>
        <w:t xml:space="preserve"> in </w:t>
      </w:r>
      <w:r w:rsidR="00D80907" w:rsidRPr="0067324C">
        <w:rPr>
          <w:noProof/>
        </w:rPr>
        <w:t xml:space="preserve">May 2026, </w:t>
      </w:r>
      <w:r w:rsidR="00235A11">
        <w:rPr>
          <w:noProof/>
        </w:rPr>
        <w:t xml:space="preserve">it </w:t>
      </w:r>
      <w:r w:rsidR="00D80907" w:rsidRPr="0067324C">
        <w:rPr>
          <w:noProof/>
        </w:rPr>
        <w:t>was submitted to the Legal Service of the Republic for legal vetting.</w:t>
      </w:r>
      <w:r w:rsidR="00D80907" w:rsidRPr="00402CA3">
        <w:rPr>
          <w:noProof/>
        </w:rPr>
        <w:t xml:space="preserve"> </w:t>
      </w:r>
      <w:r w:rsidRPr="0067324C">
        <w:rPr>
          <w:noProof/>
        </w:rPr>
        <w:t xml:space="preserve">Moreover, in </w:t>
      </w:r>
      <w:r w:rsidR="00A82FDB" w:rsidRPr="0067324C">
        <w:rPr>
          <w:noProof/>
        </w:rPr>
        <w:t>April</w:t>
      </w:r>
      <w:r w:rsidRPr="001420BD">
        <w:rPr>
          <w:noProof/>
        </w:rPr>
        <w:t xml:space="preserve"> 2026, a </w:t>
      </w:r>
      <w:r w:rsidR="00A82FDB" w:rsidRPr="0067324C">
        <w:rPr>
          <w:noProof/>
        </w:rPr>
        <w:t>law</w:t>
      </w:r>
      <w:r w:rsidR="0067324C">
        <w:rPr>
          <w:noProof/>
        </w:rPr>
        <w:t xml:space="preserve"> </w:t>
      </w:r>
      <w:r w:rsidRPr="001420BD">
        <w:rPr>
          <w:noProof/>
        </w:rPr>
        <w:t>to enhance restrictions on former state officials, judges and certain public sector employees after they leave office</w:t>
      </w:r>
      <w:r w:rsidR="004A1378" w:rsidRPr="0067324C">
        <w:rPr>
          <w:noProof/>
        </w:rPr>
        <w:t xml:space="preserve"> w</w:t>
      </w:r>
      <w:r w:rsidR="00670EAC" w:rsidRPr="0067324C">
        <w:rPr>
          <w:noProof/>
        </w:rPr>
        <w:t>as adopted</w:t>
      </w:r>
      <w:r w:rsidR="0067324C" w:rsidRPr="00402CA3">
        <w:rPr>
          <w:rStyle w:val="FootnoteReference"/>
          <w:noProof/>
        </w:rPr>
        <w:footnoteReference w:id="97"/>
      </w:r>
      <w:r w:rsidR="00583F77" w:rsidRPr="00402CA3">
        <w:rPr>
          <w:noProof/>
        </w:rPr>
        <w:t xml:space="preserve">. </w:t>
      </w:r>
      <w:r w:rsidR="00D026BF" w:rsidRPr="00402CA3">
        <w:rPr>
          <w:noProof/>
        </w:rPr>
        <w:t>Previously</w:t>
      </w:r>
      <w:r w:rsidR="00583F77" w:rsidRPr="00402CA3">
        <w:rPr>
          <w:noProof/>
        </w:rPr>
        <w:t xml:space="preserve">, </w:t>
      </w:r>
      <w:r w:rsidRPr="001420BD">
        <w:rPr>
          <w:noProof/>
        </w:rPr>
        <w:t>they</w:t>
      </w:r>
      <w:r>
        <w:rPr>
          <w:noProof/>
        </w:rPr>
        <w:t xml:space="preserve"> </w:t>
      </w:r>
      <w:r w:rsidR="00583F77" w:rsidRPr="00402CA3">
        <w:rPr>
          <w:noProof/>
        </w:rPr>
        <w:t xml:space="preserve">had to </w:t>
      </w:r>
      <w:r>
        <w:rPr>
          <w:noProof/>
        </w:rPr>
        <w:t xml:space="preserve">obtain authorisation before taking private sector employments within two years of their departure. The </w:t>
      </w:r>
      <w:r w:rsidR="00F2625C" w:rsidRPr="00402CA3">
        <w:rPr>
          <w:noProof/>
        </w:rPr>
        <w:t xml:space="preserve">new </w:t>
      </w:r>
      <w:r w:rsidR="00583F77" w:rsidRPr="00402CA3">
        <w:rPr>
          <w:noProof/>
        </w:rPr>
        <w:t>law</w:t>
      </w:r>
      <w:r>
        <w:rPr>
          <w:noProof/>
        </w:rPr>
        <w:t xml:space="preserve"> </w:t>
      </w:r>
      <w:r w:rsidRPr="0067324C">
        <w:rPr>
          <w:noProof/>
        </w:rPr>
        <w:t>expand</w:t>
      </w:r>
      <w:r w:rsidR="00945F12" w:rsidRPr="00402CA3">
        <w:rPr>
          <w:noProof/>
        </w:rPr>
        <w:t>s</w:t>
      </w:r>
      <w:r>
        <w:rPr>
          <w:noProof/>
        </w:rPr>
        <w:t xml:space="preserve"> this restriction to include roles as company advisers or secretaries</w:t>
      </w:r>
      <w:r w:rsidRPr="0067324C">
        <w:rPr>
          <w:noProof/>
        </w:rPr>
        <w:t>.</w:t>
      </w:r>
      <w:r w:rsidRPr="004104C2">
        <w:rPr>
          <w:noProof/>
        </w:rPr>
        <w:t xml:space="preserve"> </w:t>
      </w:r>
      <w:r w:rsidR="00DC2E21">
        <w:rPr>
          <w:noProof/>
        </w:rPr>
        <w:t>In addition, former officials are now required to declare any acquisition of shares within two years of their departure.</w:t>
      </w:r>
      <w:bookmarkStart w:id="22" w:name="_Hlk220921433"/>
    </w:p>
    <w:p w14:paraId="43F24140" w14:textId="73694C3E" w:rsidR="0040534C" w:rsidRDefault="0040534C" w:rsidP="0040534C">
      <w:pPr>
        <w:rPr>
          <w:rFonts w:eastAsia="Calibri"/>
          <w:noProof/>
          <w:sz w:val="22"/>
        </w:rPr>
      </w:pPr>
      <w:r w:rsidRPr="00EE8D8C">
        <w:rPr>
          <w:rFonts w:eastAsia="Calibri"/>
          <w:b/>
          <w:bCs/>
          <w:noProof/>
        </w:rPr>
        <w:t xml:space="preserve">The monitoring of the law on lobbying </w:t>
      </w:r>
      <w:bookmarkStart w:id="23" w:name="_Hlk221197696"/>
      <w:r w:rsidRPr="00EE8D8C">
        <w:rPr>
          <w:rFonts w:eastAsia="Calibri"/>
          <w:b/>
          <w:bCs/>
          <w:noProof/>
        </w:rPr>
        <w:t>is being strengthened</w:t>
      </w:r>
      <w:bookmarkEnd w:id="23"/>
      <w:r>
        <w:rPr>
          <w:rFonts w:eastAsia="Calibri"/>
          <w:noProof/>
        </w:rPr>
        <w:t xml:space="preserve">. </w:t>
      </w:r>
      <w:r w:rsidRPr="00EE8D8C">
        <w:rPr>
          <w:rFonts w:eastAsia="Calibri"/>
          <w:noProof/>
        </w:rPr>
        <w:t xml:space="preserve">In 2025, the registrations of lobbyists continued to increase. </w:t>
      </w:r>
      <w:r w:rsidRPr="00EE8D8C">
        <w:rPr>
          <w:noProof/>
        </w:rPr>
        <w:t>The IAAC has continued to carry out intensive training</w:t>
      </w:r>
      <w:r>
        <w:rPr>
          <w:noProof/>
        </w:rPr>
        <w:t>, guidance</w:t>
      </w:r>
      <w:r w:rsidRPr="00EE8D8C">
        <w:rPr>
          <w:noProof/>
        </w:rPr>
        <w:t xml:space="preserve"> and awareness raising activities </w:t>
      </w:r>
      <w:r>
        <w:rPr>
          <w:noProof/>
        </w:rPr>
        <w:t>on the implementation</w:t>
      </w:r>
      <w:r w:rsidRPr="00DB038F">
        <w:rPr>
          <w:noProof/>
        </w:rPr>
        <w:t xml:space="preserve"> of the </w:t>
      </w:r>
      <w:r>
        <w:rPr>
          <w:noProof/>
        </w:rPr>
        <w:t>law</w:t>
      </w:r>
      <w:r w:rsidRPr="00DB038F">
        <w:rPr>
          <w:noProof/>
        </w:rPr>
        <w:t xml:space="preserve"> </w:t>
      </w:r>
      <w:r w:rsidRPr="00EE8D8C">
        <w:rPr>
          <w:noProof/>
        </w:rPr>
        <w:t>and</w:t>
      </w:r>
      <w:r w:rsidRPr="00EE8D8C">
        <w:rPr>
          <w:rFonts w:eastAsia="Calibri"/>
          <w:noProof/>
        </w:rPr>
        <w:t xml:space="preserve"> aims to continue these efforts in 2026</w:t>
      </w:r>
      <w:r w:rsidRPr="00EE8D8C">
        <w:rPr>
          <w:rFonts w:eastAsia="Calibri"/>
          <w:noProof/>
          <w:vertAlign w:val="superscript"/>
        </w:rPr>
        <w:footnoteReference w:id="98"/>
      </w:r>
      <w:r w:rsidRPr="00EE8D8C">
        <w:rPr>
          <w:rFonts w:eastAsia="Calibri"/>
          <w:noProof/>
        </w:rPr>
        <w:t>.</w:t>
      </w:r>
      <w:r w:rsidRPr="00EE8D8C">
        <w:rPr>
          <w:noProof/>
        </w:rPr>
        <w:t xml:space="preserve"> </w:t>
      </w:r>
      <w:bookmarkStart w:id="24" w:name="_Hlk220427611"/>
      <w:r w:rsidRPr="00EE8D8C">
        <w:rPr>
          <w:rFonts w:eastAsia="Calibri"/>
          <w:noProof/>
        </w:rPr>
        <w:t>An audit of biannual reports that lobbyists are required to submit</w:t>
      </w:r>
      <w:r w:rsidRPr="0097111C">
        <w:rPr>
          <w:noProof/>
          <w:vertAlign w:val="superscript"/>
        </w:rPr>
        <w:footnoteReference w:id="99"/>
      </w:r>
      <w:r w:rsidRPr="00EE8D8C">
        <w:rPr>
          <w:rFonts w:eastAsia="Calibri"/>
          <w:noProof/>
        </w:rPr>
        <w:t xml:space="preserve"> revealed minor discrepancies between the real-time filings made by the officials and the six months summaries submitted by the lobbyist</w:t>
      </w:r>
      <w:r w:rsidRPr="00EE8D8C">
        <w:rPr>
          <w:rFonts w:eastAsia="Calibri"/>
          <w:noProof/>
          <w:vertAlign w:val="superscript"/>
        </w:rPr>
        <w:footnoteReference w:id="100"/>
      </w:r>
      <w:r w:rsidRPr="00EE8D8C">
        <w:rPr>
          <w:rFonts w:eastAsia="Calibri"/>
          <w:noProof/>
        </w:rPr>
        <w:t>. The IAAC concluded that the errors detected stemmed largely from a lack of familiarity with the new reporting requirements and decided to not impose penalties or sanctions</w:t>
      </w:r>
      <w:r w:rsidRPr="00EE8D8C">
        <w:rPr>
          <w:rFonts w:eastAsia="Calibri"/>
          <w:noProof/>
          <w:vertAlign w:val="superscript"/>
        </w:rPr>
        <w:footnoteReference w:id="101"/>
      </w:r>
      <w:r w:rsidRPr="00EE8D8C">
        <w:rPr>
          <w:rFonts w:eastAsia="Calibri"/>
          <w:noProof/>
        </w:rPr>
        <w:t>.</w:t>
      </w:r>
      <w:r>
        <w:rPr>
          <w:rFonts w:eastAsia="Calibri"/>
          <w:noProof/>
          <w:vertAlign w:val="superscript"/>
        </w:rPr>
        <w:t xml:space="preserve"> </w:t>
      </w:r>
      <w:r w:rsidRPr="00EE8D8C">
        <w:rPr>
          <w:rFonts w:eastAsia="Calibri"/>
          <w:noProof/>
        </w:rPr>
        <w:t>Instead, it sent a formal request for corrections and clarifications</w:t>
      </w:r>
      <w:bookmarkStart w:id="25" w:name="_Hlk220427535"/>
      <w:bookmarkEnd w:id="24"/>
      <w:r w:rsidRPr="00EE8D8C">
        <w:rPr>
          <w:rFonts w:eastAsia="Calibri"/>
          <w:noProof/>
        </w:rPr>
        <w:t>. The lobbyists and business stakeholders welcome the rules on lobbying and the work carried out by the IAAC</w:t>
      </w:r>
      <w:r w:rsidRPr="00EE8D8C">
        <w:rPr>
          <w:rFonts w:eastAsia="Calibri"/>
          <w:noProof/>
          <w:vertAlign w:val="superscript"/>
        </w:rPr>
        <w:footnoteReference w:id="102"/>
      </w:r>
      <w:r w:rsidRPr="00EE8D8C">
        <w:rPr>
          <w:rFonts w:eastAsia="Calibri"/>
          <w:noProof/>
        </w:rPr>
        <w:t xml:space="preserve">. </w:t>
      </w:r>
      <w:r w:rsidRPr="00523661">
        <w:rPr>
          <w:rFonts w:eastAsia="Calibri"/>
          <w:noProof/>
        </w:rPr>
        <w:t>At the same time,</w:t>
      </w:r>
      <w:r w:rsidRPr="00EE8D8C">
        <w:rPr>
          <w:rFonts w:eastAsia="Calibri"/>
          <w:noProof/>
        </w:rPr>
        <w:t xml:space="preserve"> </w:t>
      </w:r>
      <w:r>
        <w:rPr>
          <w:rFonts w:eastAsia="Calibri"/>
          <w:noProof/>
        </w:rPr>
        <w:t>lobbyists and civil society</w:t>
      </w:r>
      <w:r w:rsidR="005823DE">
        <w:rPr>
          <w:rFonts w:eastAsia="Calibri"/>
          <w:noProof/>
        </w:rPr>
        <w:t xml:space="preserve"> representatives</w:t>
      </w:r>
      <w:r>
        <w:rPr>
          <w:rFonts w:eastAsia="Calibri"/>
          <w:noProof/>
        </w:rPr>
        <w:t xml:space="preserve"> have raised </w:t>
      </w:r>
      <w:r w:rsidRPr="00EE8D8C">
        <w:rPr>
          <w:rFonts w:eastAsia="Calibri"/>
          <w:noProof/>
        </w:rPr>
        <w:t>concerns on the uneven application of the lobbying law</w:t>
      </w:r>
      <w:r w:rsidRPr="00EE8D8C">
        <w:rPr>
          <w:rFonts w:eastAsia="Calibri"/>
          <w:noProof/>
          <w:vertAlign w:val="superscript"/>
        </w:rPr>
        <w:footnoteReference w:id="103"/>
      </w:r>
      <w:r w:rsidRPr="00EE8D8C">
        <w:rPr>
          <w:rFonts w:eastAsia="Calibri"/>
          <w:noProof/>
        </w:rPr>
        <w:t>. The digitalisation of the lobbying registry, which is scheduled for 2027, should enhance the transparency on lobbying while reducing the administrative burden for the IAAC</w:t>
      </w:r>
      <w:r w:rsidRPr="00EE8D8C">
        <w:rPr>
          <w:rFonts w:eastAsia="Calibri"/>
          <w:noProof/>
          <w:vertAlign w:val="superscript"/>
        </w:rPr>
        <w:footnoteReference w:id="104"/>
      </w:r>
      <w:r w:rsidRPr="00EE8D8C">
        <w:rPr>
          <w:rFonts w:eastAsia="Calibri"/>
          <w:noProof/>
        </w:rPr>
        <w:t>.</w:t>
      </w:r>
      <w:r w:rsidRPr="00E64DDB">
        <w:rPr>
          <w:rFonts w:eastAsia="Calibri"/>
          <w:noProof/>
        </w:rPr>
        <w:t xml:space="preserve"> </w:t>
      </w:r>
      <w:r w:rsidDel="000473A9">
        <w:rPr>
          <w:rFonts w:eastAsia="Calibri"/>
          <w:noProof/>
        </w:rPr>
        <w:t xml:space="preserve">In March 2026, </w:t>
      </w:r>
      <w:r w:rsidRPr="00E64DDB" w:rsidDel="000473A9">
        <w:rPr>
          <w:rFonts w:eastAsia="Calibri"/>
          <w:noProof/>
        </w:rPr>
        <w:t xml:space="preserve">the </w:t>
      </w:r>
      <w:r w:rsidDel="000473A9">
        <w:rPr>
          <w:rFonts w:eastAsia="Calibri"/>
          <w:noProof/>
        </w:rPr>
        <w:t xml:space="preserve">Parliament amended the </w:t>
      </w:r>
      <w:r w:rsidRPr="00E64DDB" w:rsidDel="000473A9">
        <w:rPr>
          <w:rFonts w:eastAsia="Calibri"/>
          <w:noProof/>
        </w:rPr>
        <w:t>lobbying la</w:t>
      </w:r>
      <w:r w:rsidDel="000473A9">
        <w:rPr>
          <w:rFonts w:eastAsia="Calibri"/>
          <w:noProof/>
        </w:rPr>
        <w:t>w to</w:t>
      </w:r>
      <w:r w:rsidRPr="00E64DDB" w:rsidDel="000473A9">
        <w:rPr>
          <w:rFonts w:eastAsia="Calibri"/>
          <w:noProof/>
        </w:rPr>
        <w:t xml:space="preserve"> exemp</w:t>
      </w:r>
      <w:r w:rsidDel="000473A9">
        <w:rPr>
          <w:rFonts w:eastAsia="Calibri"/>
          <w:noProof/>
        </w:rPr>
        <w:t>t</w:t>
      </w:r>
      <w:r w:rsidRPr="00E64DDB" w:rsidDel="000473A9">
        <w:rPr>
          <w:rFonts w:eastAsia="Calibri"/>
          <w:noProof/>
        </w:rPr>
        <w:t xml:space="preserve"> organisations representing persons with disabilities, patients and chronically ill individuals from registration requirements</w:t>
      </w:r>
      <w:r w:rsidDel="000473A9">
        <w:rPr>
          <w:rStyle w:val="FootnoteReference"/>
          <w:rFonts w:eastAsia="Calibri"/>
          <w:noProof/>
        </w:rPr>
        <w:footnoteReference w:id="105"/>
      </w:r>
      <w:r>
        <w:rPr>
          <w:rFonts w:eastAsia="Calibri"/>
          <w:noProof/>
        </w:rPr>
        <w:t xml:space="preserve">.  </w:t>
      </w:r>
    </w:p>
    <w:p w14:paraId="3FBE0C37" w14:textId="19C0DE8F" w:rsidR="0040534C" w:rsidRPr="00EB6CA6" w:rsidRDefault="0040534C" w:rsidP="0040534C">
      <w:pPr>
        <w:widowControl w:val="0"/>
        <w:rPr>
          <w:noProof/>
          <w:vertAlign w:val="superscript"/>
        </w:rPr>
      </w:pPr>
      <w:bookmarkStart w:id="26" w:name="_Hlk220921670"/>
      <w:bookmarkStart w:id="27" w:name="_Hlk221197776"/>
      <w:bookmarkEnd w:id="16"/>
      <w:bookmarkEnd w:id="18"/>
      <w:bookmarkEnd w:id="19"/>
      <w:bookmarkEnd w:id="20"/>
      <w:bookmarkEnd w:id="22"/>
      <w:bookmarkEnd w:id="25"/>
      <w:r>
        <w:rPr>
          <w:rFonts w:eastAsia="Calibri"/>
          <w:b/>
          <w:noProof/>
          <w:color w:val="000000"/>
          <w:szCs w:val="24"/>
          <w:lang w:bidi="en-US"/>
          <w14:ligatures w14:val="standardContextual"/>
        </w:rPr>
        <w:t xml:space="preserve">Integrity rules were strengthened and </w:t>
      </w:r>
      <w:r w:rsidRPr="0097111C">
        <w:rPr>
          <w:rFonts w:eastAsia="Calibri"/>
          <w:b/>
          <w:noProof/>
          <w:color w:val="000000"/>
          <w:szCs w:val="24"/>
          <w:lang w:bidi="en-US"/>
          <w14:ligatures w14:val="standardContextual"/>
        </w:rPr>
        <w:t>a comprehensive strategy for the integrity of persons entrusted with top executive functions</w:t>
      </w:r>
      <w:bookmarkEnd w:id="26"/>
      <w:r>
        <w:rPr>
          <w:rFonts w:eastAsia="Calibri"/>
          <w:b/>
          <w:noProof/>
          <w:color w:val="000000"/>
          <w:szCs w:val="24"/>
          <w:lang w:bidi="en-US"/>
          <w14:ligatures w14:val="standardContextual"/>
        </w:rPr>
        <w:t xml:space="preserve"> is in preparation.</w:t>
      </w:r>
      <w:r w:rsidRPr="0097111C">
        <w:rPr>
          <w:rFonts w:eastAsia="Calibri"/>
          <w:noProof/>
          <w:szCs w:val="24"/>
          <w:lang w:bidi="en-US"/>
          <w14:ligatures w14:val="standardContextual"/>
        </w:rPr>
        <w:t xml:space="preserve"> </w:t>
      </w:r>
      <w:bookmarkEnd w:id="27"/>
      <w:r w:rsidRPr="0097111C">
        <w:rPr>
          <w:rFonts w:eastAsia="Calibri"/>
          <w:noProof/>
          <w:szCs w:val="24"/>
          <w:lang w:bidi="en-US"/>
          <w14:ligatures w14:val="standardContextual"/>
        </w:rPr>
        <w:t xml:space="preserve">The </w:t>
      </w:r>
      <w:r w:rsidRPr="0097111C">
        <w:rPr>
          <w:rFonts w:eastAsia="Calibri"/>
          <w:noProof/>
          <w:color w:val="000000"/>
          <w:szCs w:val="24"/>
          <w:lang w:bidi="en-US"/>
          <w14:ligatures w14:val="standardContextual"/>
        </w:rPr>
        <w:t xml:space="preserve">IAAC </w:t>
      </w:r>
      <w:r>
        <w:rPr>
          <w:rFonts w:eastAsia="Calibri"/>
          <w:noProof/>
          <w:color w:val="000000"/>
          <w:szCs w:val="24"/>
          <w:lang w:bidi="en-US"/>
          <w14:ligatures w14:val="standardContextual"/>
        </w:rPr>
        <w:t xml:space="preserve">is planning to launch </w:t>
      </w:r>
      <w:r w:rsidRPr="0097111C">
        <w:rPr>
          <w:rFonts w:eastAsia="Calibri"/>
          <w:noProof/>
          <w:color w:val="000000"/>
          <w:szCs w:val="24"/>
          <w:lang w:bidi="en-US"/>
          <w14:ligatures w14:val="standardContextual"/>
        </w:rPr>
        <w:t>a</w:t>
      </w:r>
      <w:r>
        <w:rPr>
          <w:rFonts w:eastAsia="Calibri"/>
          <w:noProof/>
          <w:color w:val="000000"/>
          <w:szCs w:val="24"/>
          <w:lang w:bidi="en-US"/>
          <w14:ligatures w14:val="standardContextual"/>
        </w:rPr>
        <w:t>n independent</w:t>
      </w:r>
      <w:r w:rsidRPr="0097111C">
        <w:rPr>
          <w:rFonts w:eastAsia="Calibri"/>
          <w:noProof/>
          <w:color w:val="000000"/>
          <w:szCs w:val="24"/>
          <w:lang w:bidi="en-US"/>
          <w14:ligatures w14:val="standardContextual"/>
        </w:rPr>
        <w:t xml:space="preserve"> study</w:t>
      </w:r>
      <w:r>
        <w:rPr>
          <w:rFonts w:eastAsia="Calibri"/>
          <w:noProof/>
          <w:color w:val="000000"/>
          <w:szCs w:val="24"/>
          <w:lang w:bidi="en-US"/>
          <w14:ligatures w14:val="standardContextual"/>
        </w:rPr>
        <w:t xml:space="preserve"> </w:t>
      </w:r>
      <w:r w:rsidRPr="0097111C">
        <w:rPr>
          <w:rFonts w:eastAsia="Calibri"/>
          <w:noProof/>
          <w:color w:val="000000"/>
          <w:szCs w:val="24"/>
          <w:lang w:bidi="en-US"/>
          <w14:ligatures w14:val="standardContextual"/>
        </w:rPr>
        <w:t xml:space="preserve">that will focus on the </w:t>
      </w:r>
      <w:r>
        <w:rPr>
          <w:rFonts w:eastAsia="Calibri"/>
          <w:noProof/>
          <w:color w:val="000000"/>
          <w:szCs w:val="24"/>
          <w:lang w:bidi="en-US"/>
          <w14:ligatures w14:val="standardContextual"/>
        </w:rPr>
        <w:t xml:space="preserve">risk areas and measures to ensure the </w:t>
      </w:r>
      <w:r w:rsidRPr="0097111C">
        <w:rPr>
          <w:rFonts w:eastAsia="Calibri"/>
          <w:noProof/>
          <w:color w:val="000000"/>
          <w:szCs w:val="24"/>
          <w:lang w:bidi="en-US"/>
          <w14:ligatures w14:val="standardContextual"/>
        </w:rPr>
        <w:t>integrity of Persons with Top Executive Functions and their Commissioned Private Technical Advisers</w:t>
      </w:r>
      <w:r w:rsidRPr="00100DBC">
        <w:rPr>
          <w:rFonts w:eastAsia="Calibri"/>
          <w:noProof/>
          <w:color w:val="000000"/>
          <w:szCs w:val="24"/>
          <w:vertAlign w:val="superscript"/>
          <w:lang w:bidi="en-US"/>
          <w14:ligatures w14:val="standardContextual"/>
        </w:rPr>
        <w:footnoteReference w:id="106"/>
      </w:r>
      <w:r w:rsidRPr="0097111C">
        <w:rPr>
          <w:noProof/>
          <w:color w:val="000000"/>
          <w:szCs w:val="24"/>
          <w:lang w:bidi="en-US"/>
          <w14:ligatures w14:val="standardContextual"/>
        </w:rPr>
        <w:t xml:space="preserve">. </w:t>
      </w:r>
      <w:r w:rsidRPr="0097111C">
        <w:rPr>
          <w:rFonts w:eastAsia="Calibri"/>
          <w:noProof/>
          <w:color w:val="000000"/>
          <w:szCs w:val="24"/>
          <w:lang w:bidi="en-US"/>
          <w14:ligatures w14:val="standardContextual"/>
        </w:rPr>
        <w:t xml:space="preserve">Upon its completion, the study </w:t>
      </w:r>
      <w:r>
        <w:rPr>
          <w:rFonts w:eastAsia="Calibri"/>
          <w:noProof/>
          <w:color w:val="000000"/>
          <w:szCs w:val="24"/>
          <w:lang w:bidi="en-US"/>
          <w14:ligatures w14:val="standardContextual"/>
        </w:rPr>
        <w:t xml:space="preserve">will </w:t>
      </w:r>
      <w:r w:rsidRPr="0097111C">
        <w:rPr>
          <w:rFonts w:eastAsia="Calibri"/>
          <w:noProof/>
          <w:color w:val="000000"/>
          <w:szCs w:val="24"/>
          <w:lang w:bidi="en-US"/>
          <w14:ligatures w14:val="standardContextual"/>
        </w:rPr>
        <w:t xml:space="preserve">be discussed with the relevant authorities </w:t>
      </w:r>
      <w:r>
        <w:rPr>
          <w:rFonts w:eastAsia="Calibri"/>
          <w:noProof/>
          <w:color w:val="000000"/>
          <w:szCs w:val="24"/>
          <w:lang w:bidi="en-US"/>
          <w14:ligatures w14:val="standardContextual"/>
        </w:rPr>
        <w:t>who will decide on the follow up</w:t>
      </w:r>
      <w:r w:rsidRPr="0097111C">
        <w:rPr>
          <w:rFonts w:eastAsia="Calibri"/>
          <w:noProof/>
          <w:color w:val="000000"/>
          <w:szCs w:val="24"/>
          <w:vertAlign w:val="superscript"/>
          <w:lang w:bidi="en-US"/>
          <w14:ligatures w14:val="standardContextual"/>
        </w:rPr>
        <w:footnoteReference w:id="107"/>
      </w:r>
      <w:bookmarkStart w:id="28" w:name="_Hlk222221913"/>
      <w:r w:rsidR="00D6449C">
        <w:rPr>
          <w:rFonts w:eastAsia="Calibri"/>
          <w:noProof/>
          <w:color w:val="000000"/>
          <w:szCs w:val="24"/>
          <w:lang w:bidi="en-US"/>
          <w14:ligatures w14:val="standardContextual"/>
        </w:rPr>
        <w:t>.</w:t>
      </w:r>
      <w:r>
        <w:rPr>
          <w:noProof/>
          <w:color w:val="000000"/>
          <w:szCs w:val="24"/>
          <w:lang w:bidi="en-US"/>
          <w14:ligatures w14:val="standardContextual"/>
        </w:rPr>
        <w:t xml:space="preserve"> </w:t>
      </w:r>
      <w:r w:rsidRPr="00040837">
        <w:rPr>
          <w:rFonts w:eastAsia="Calibri"/>
          <w:bCs/>
          <w:noProof/>
          <w:color w:val="000000"/>
          <w:szCs w:val="24"/>
          <w:lang w:bidi="en-US"/>
          <w14:ligatures w14:val="standardContextual"/>
        </w:rPr>
        <w:t>During 2025, there were intensive training efforts on the new Guide of Conduct and Ethics for Civil Servants</w:t>
      </w:r>
      <w:r>
        <w:rPr>
          <w:rFonts w:eastAsia="Calibri"/>
          <w:bCs/>
          <w:noProof/>
          <w:color w:val="000000"/>
          <w:szCs w:val="24"/>
          <w:lang w:bidi="en-US"/>
          <w14:ligatures w14:val="standardContextual"/>
        </w:rPr>
        <w:t>,</w:t>
      </w:r>
      <w:r w:rsidRPr="00040837" w:rsidDel="00DE5F3C">
        <w:rPr>
          <w:rFonts w:eastAsia="Calibri"/>
          <w:bCs/>
          <w:noProof/>
          <w:color w:val="000000"/>
          <w:szCs w:val="24"/>
          <w:lang w:bidi="en-US"/>
          <w14:ligatures w14:val="standardContextual"/>
        </w:rPr>
        <w:t xml:space="preserve"> </w:t>
      </w:r>
      <w:r w:rsidRPr="00040837">
        <w:rPr>
          <w:rFonts w:eastAsia="Calibri"/>
          <w:bCs/>
          <w:noProof/>
          <w:color w:val="000000"/>
          <w:szCs w:val="24"/>
          <w:lang w:bidi="en-US"/>
          <w14:ligatures w14:val="standardContextual"/>
        </w:rPr>
        <w:t xml:space="preserve">adopted </w:t>
      </w:r>
      <w:r>
        <w:rPr>
          <w:rFonts w:eastAsia="Calibri"/>
          <w:bCs/>
          <w:noProof/>
          <w:color w:val="000000"/>
          <w:szCs w:val="24"/>
          <w:lang w:bidi="en-US"/>
          <w14:ligatures w14:val="standardContextual"/>
        </w:rPr>
        <w:t>in</w:t>
      </w:r>
      <w:r w:rsidRPr="00040837">
        <w:rPr>
          <w:rFonts w:eastAsia="Calibri"/>
          <w:bCs/>
          <w:noProof/>
          <w:color w:val="000000"/>
          <w:szCs w:val="24"/>
          <w:lang w:bidi="en-US"/>
          <w14:ligatures w14:val="standardContextual"/>
        </w:rPr>
        <w:t xml:space="preserve"> March 2025</w:t>
      </w:r>
      <w:bookmarkEnd w:id="28"/>
      <w:r w:rsidRPr="00040837">
        <w:rPr>
          <w:rFonts w:eastAsia="Calibri"/>
          <w:bCs/>
          <w:noProof/>
          <w:color w:val="000000"/>
          <w:szCs w:val="24"/>
          <w:vertAlign w:val="superscript"/>
          <w:lang w:bidi="en-US"/>
          <w14:ligatures w14:val="standardContextual"/>
        </w:rPr>
        <w:footnoteReference w:id="108"/>
      </w:r>
      <w:r w:rsidRPr="00040837">
        <w:rPr>
          <w:rFonts w:eastAsia="Calibri"/>
          <w:bCs/>
          <w:noProof/>
          <w:color w:val="000000"/>
          <w:szCs w:val="24"/>
          <w:lang w:bidi="en-US"/>
          <w14:ligatures w14:val="standardContextual"/>
        </w:rPr>
        <w:t>.</w:t>
      </w:r>
      <w:r w:rsidRPr="0097111C">
        <w:rPr>
          <w:rFonts w:eastAsia="Calibri"/>
          <w:bCs/>
          <w:noProof/>
          <w:color w:val="000000"/>
          <w:szCs w:val="24"/>
          <w:lang w:bidi="en-US"/>
          <w14:ligatures w14:val="standardContextual"/>
        </w:rPr>
        <w:t xml:space="preserve"> In </w:t>
      </w:r>
      <w:r w:rsidR="000F4EDD">
        <w:rPr>
          <w:rFonts w:eastAsia="Calibri"/>
          <w:bCs/>
          <w:noProof/>
          <w:color w:val="000000"/>
          <w:szCs w:val="24"/>
          <w:lang w:bidi="en-US"/>
          <w14:ligatures w14:val="standardContextual"/>
        </w:rPr>
        <w:t>May</w:t>
      </w:r>
      <w:r w:rsidRPr="0097111C">
        <w:rPr>
          <w:rFonts w:eastAsia="Calibri"/>
          <w:bCs/>
          <w:noProof/>
          <w:color w:val="000000"/>
          <w:szCs w:val="24"/>
          <w:lang w:bidi="en-US"/>
          <w14:ligatures w14:val="standardContextual"/>
        </w:rPr>
        <w:t xml:space="preserve"> 2026, Guidelines </w:t>
      </w:r>
      <w:r w:rsidR="00024DD4">
        <w:rPr>
          <w:rFonts w:eastAsia="Calibri"/>
          <w:bCs/>
          <w:noProof/>
          <w:color w:val="000000"/>
          <w:szCs w:val="24"/>
          <w:lang w:bidi="en-US"/>
          <w14:ligatures w14:val="standardContextual"/>
        </w:rPr>
        <w:t>were issued</w:t>
      </w:r>
      <w:r w:rsidRPr="0097111C">
        <w:rPr>
          <w:rFonts w:eastAsia="Calibri"/>
          <w:bCs/>
          <w:noProof/>
          <w:color w:val="000000"/>
          <w:szCs w:val="24"/>
          <w:lang w:bidi="en-US"/>
          <w14:ligatures w14:val="standardContextual"/>
        </w:rPr>
        <w:t xml:space="preserve"> for the better Implementation of the Code of Conduct for </w:t>
      </w:r>
      <w:r w:rsidR="000925C2">
        <w:rPr>
          <w:rFonts w:eastAsia="Calibri"/>
          <w:bCs/>
          <w:noProof/>
          <w:color w:val="000000"/>
          <w:szCs w:val="24"/>
          <w:lang w:bidi="en-US"/>
          <w14:ligatures w14:val="standardContextual"/>
        </w:rPr>
        <w:t xml:space="preserve">the </w:t>
      </w:r>
      <w:r w:rsidR="007E09C4">
        <w:rPr>
          <w:rFonts w:eastAsia="Calibri"/>
          <w:bCs/>
          <w:noProof/>
          <w:color w:val="000000"/>
          <w:szCs w:val="24"/>
          <w:lang w:bidi="en-US"/>
          <w14:ligatures w14:val="standardContextual"/>
        </w:rPr>
        <w:t xml:space="preserve">Advisors of the </w:t>
      </w:r>
      <w:r w:rsidRPr="0097111C">
        <w:rPr>
          <w:rFonts w:eastAsia="Calibri"/>
          <w:bCs/>
          <w:noProof/>
          <w:color w:val="000000"/>
          <w:szCs w:val="24"/>
          <w:lang w:bidi="en-US"/>
          <w14:ligatures w14:val="standardContextual"/>
        </w:rPr>
        <w:t>Government Members</w:t>
      </w:r>
      <w:r w:rsidR="00A67360">
        <w:rPr>
          <w:rStyle w:val="FootnoteReference"/>
          <w:rFonts w:eastAsia="Calibri"/>
          <w:bCs/>
          <w:noProof/>
          <w:color w:val="000000"/>
          <w:szCs w:val="24"/>
          <w:lang w:bidi="en-US"/>
          <w14:ligatures w14:val="standardContextual"/>
        </w:rPr>
        <w:footnoteReference w:id="109"/>
      </w:r>
      <w:r>
        <w:rPr>
          <w:rFonts w:eastAsia="Calibri"/>
          <w:bCs/>
          <w:noProof/>
          <w:color w:val="000000"/>
          <w:szCs w:val="24"/>
          <w:lang w:bidi="en-US"/>
          <w14:ligatures w14:val="standardContextual"/>
        </w:rPr>
        <w:t xml:space="preserve">. </w:t>
      </w:r>
      <w:r w:rsidRPr="00C55ACA">
        <w:rPr>
          <w:noProof/>
        </w:rPr>
        <w:t xml:space="preserve">The Cyprus Police Academy continued to deliver its educational activities on integrity and corruption </w:t>
      </w:r>
      <w:r>
        <w:rPr>
          <w:noProof/>
        </w:rPr>
        <w:t>that</w:t>
      </w:r>
      <w:r w:rsidRPr="00C55ACA">
        <w:rPr>
          <w:noProof/>
        </w:rPr>
        <w:t xml:space="preserve"> are incorporated into its </w:t>
      </w:r>
      <w:r>
        <w:rPr>
          <w:noProof/>
        </w:rPr>
        <w:t>annual</w:t>
      </w:r>
      <w:r w:rsidRPr="00C55ACA">
        <w:rPr>
          <w:noProof/>
        </w:rPr>
        <w:t xml:space="preserve"> academic program</w:t>
      </w:r>
      <w:r>
        <w:rPr>
          <w:noProof/>
        </w:rPr>
        <w:t>me</w:t>
      </w:r>
      <w:r w:rsidRPr="00955E09">
        <w:rPr>
          <w:rStyle w:val="FootnoteReference"/>
          <w:noProof/>
        </w:rPr>
        <w:footnoteReference w:id="110"/>
      </w:r>
      <w:r w:rsidRPr="00955E09">
        <w:rPr>
          <w:noProof/>
        </w:rPr>
        <w:t>.</w:t>
      </w:r>
    </w:p>
    <w:p w14:paraId="78E77D42" w14:textId="77777777" w:rsidR="0040534C" w:rsidRDefault="0040534C" w:rsidP="0040534C">
      <w:pPr>
        <w:pBdr>
          <w:top w:val="nil"/>
          <w:left w:val="nil"/>
          <w:bottom w:val="nil"/>
          <w:right w:val="nil"/>
          <w:between w:val="nil"/>
        </w:pBdr>
        <w:rPr>
          <w:noProof/>
          <w:szCs w:val="24"/>
        </w:rPr>
      </w:pPr>
      <w:bookmarkStart w:id="29" w:name="_Hlk159238700"/>
      <w:r w:rsidRPr="00D574C5">
        <w:rPr>
          <w:b/>
          <w:bCs/>
          <w:noProof/>
          <w:szCs w:val="24"/>
        </w:rPr>
        <w:t>Awareness raising efforts on whistleblowing continued.</w:t>
      </w:r>
      <w:r w:rsidRPr="00143FE9">
        <w:rPr>
          <w:noProof/>
          <w:szCs w:val="24"/>
        </w:rPr>
        <w:t xml:space="preserve"> </w:t>
      </w:r>
      <w:r w:rsidRPr="0097528B">
        <w:rPr>
          <w:noProof/>
          <w:szCs w:val="24"/>
        </w:rPr>
        <w:t xml:space="preserve">Relevant information </w:t>
      </w:r>
      <w:r>
        <w:rPr>
          <w:noProof/>
          <w:szCs w:val="24"/>
        </w:rPr>
        <w:t>guides</w:t>
      </w:r>
      <w:r w:rsidRPr="0097528B">
        <w:rPr>
          <w:noProof/>
          <w:szCs w:val="24"/>
        </w:rPr>
        <w:t xml:space="preserve"> were distributed to trade unions to ensure employees were fully informed about their rights, including the protection available to whistleblowers. Additionally, targeted seminars are organised</w:t>
      </w:r>
      <w:r>
        <w:rPr>
          <w:noProof/>
          <w:szCs w:val="24"/>
        </w:rPr>
        <w:t xml:space="preserve"> </w:t>
      </w:r>
      <w:r w:rsidRPr="0097528B">
        <w:rPr>
          <w:noProof/>
          <w:szCs w:val="24"/>
        </w:rPr>
        <w:t>—</w:t>
      </w:r>
      <w:r>
        <w:rPr>
          <w:noProof/>
          <w:szCs w:val="24"/>
        </w:rPr>
        <w:t xml:space="preserve"> </w:t>
      </w:r>
      <w:r w:rsidRPr="0097528B">
        <w:rPr>
          <w:noProof/>
          <w:szCs w:val="24"/>
        </w:rPr>
        <w:t>both through private training providers and associations</w:t>
      </w:r>
      <w:r>
        <w:rPr>
          <w:noProof/>
          <w:szCs w:val="24"/>
        </w:rPr>
        <w:t xml:space="preserve"> </w:t>
      </w:r>
      <w:r w:rsidRPr="0097528B">
        <w:rPr>
          <w:noProof/>
          <w:szCs w:val="24"/>
        </w:rPr>
        <w:t>—</w:t>
      </w:r>
      <w:r>
        <w:rPr>
          <w:noProof/>
          <w:szCs w:val="24"/>
        </w:rPr>
        <w:t xml:space="preserve"> </w:t>
      </w:r>
      <w:r w:rsidRPr="0097528B">
        <w:rPr>
          <w:noProof/>
          <w:szCs w:val="24"/>
        </w:rPr>
        <w:t>to further raise awareness.</w:t>
      </w:r>
      <w:r w:rsidRPr="001128DA">
        <w:rPr>
          <w:noProof/>
          <w:szCs w:val="24"/>
        </w:rPr>
        <w:t xml:space="preserve"> </w:t>
      </w:r>
      <w:r>
        <w:rPr>
          <w:noProof/>
          <w:szCs w:val="24"/>
        </w:rPr>
        <w:t xml:space="preserve">As in the previous year, </w:t>
      </w:r>
      <w:r w:rsidRPr="001128DA">
        <w:rPr>
          <w:noProof/>
          <w:szCs w:val="24"/>
        </w:rPr>
        <w:t>the Police received 80 complaints through its external reporting website</w:t>
      </w:r>
      <w:r w:rsidRPr="00B16059">
        <w:rPr>
          <w:noProof/>
          <w:szCs w:val="24"/>
        </w:rPr>
        <w:t xml:space="preserve"> </w:t>
      </w:r>
      <w:r>
        <w:rPr>
          <w:noProof/>
          <w:szCs w:val="24"/>
        </w:rPr>
        <w:t>i</w:t>
      </w:r>
      <w:r w:rsidRPr="001128DA">
        <w:rPr>
          <w:noProof/>
          <w:szCs w:val="24"/>
        </w:rPr>
        <w:t>n 2025. Of these, 79 reports were assessed as falling outside the scope of the whistleblower protection legislation</w:t>
      </w:r>
      <w:r w:rsidRPr="00143FE9">
        <w:rPr>
          <w:noProof/>
          <w:szCs w:val="24"/>
        </w:rPr>
        <w:t>, while one report is currently being examined</w:t>
      </w:r>
      <w:r w:rsidRPr="00357412">
        <w:rPr>
          <w:rStyle w:val="FootnoteReference"/>
          <w:noProof/>
          <w:szCs w:val="24"/>
        </w:rPr>
        <w:footnoteReference w:id="111"/>
      </w:r>
      <w:r w:rsidRPr="00357412">
        <w:rPr>
          <w:noProof/>
          <w:szCs w:val="24"/>
        </w:rPr>
        <w:t>.</w:t>
      </w:r>
    </w:p>
    <w:p w14:paraId="63BD40AA" w14:textId="77777777" w:rsidR="0040534C" w:rsidRPr="008F2797" w:rsidRDefault="0040534C" w:rsidP="0040534C">
      <w:pPr>
        <w:rPr>
          <w:noProof/>
        </w:rPr>
      </w:pPr>
      <w:bookmarkStart w:id="30" w:name="_Hlk221553663"/>
      <w:bookmarkStart w:id="31" w:name="_Hlk221552790"/>
      <w:r>
        <w:rPr>
          <w:rFonts w:eastAsia="Calibri"/>
          <w:b/>
          <w:noProof/>
          <w:color w:val="000000"/>
          <w:lang w:bidi="en-US"/>
          <w14:ligatures w14:val="standardContextual"/>
        </w:rPr>
        <w:t>Plans to revise the law on political party financing aim to address previously identified shortcomings</w:t>
      </w:r>
      <w:r w:rsidRPr="5C976A50">
        <w:rPr>
          <w:rFonts w:eastAsia="Calibri"/>
          <w:b/>
          <w:noProof/>
          <w:color w:val="000000"/>
          <w:lang w:bidi="en-US"/>
          <w14:ligatures w14:val="standardContextual"/>
        </w:rPr>
        <w:t>.</w:t>
      </w:r>
      <w:r w:rsidRPr="5C976A50">
        <w:rPr>
          <w:rFonts w:eastAsia="Calibri"/>
          <w:noProof/>
          <w:color w:val="000000"/>
          <w:lang w:bidi="en-US"/>
          <w14:ligatures w14:val="standardContextual"/>
        </w:rPr>
        <w:t xml:space="preserve"> </w:t>
      </w:r>
      <w:r w:rsidRPr="5C976A50">
        <w:rPr>
          <w:noProof/>
          <w:lang w:eastAsia="fr-FR"/>
        </w:rPr>
        <w:t xml:space="preserve">In </w:t>
      </w:r>
      <w:r>
        <w:rPr>
          <w:noProof/>
          <w:lang w:eastAsia="fr-FR"/>
        </w:rPr>
        <w:t>its latest reports</w:t>
      </w:r>
      <w:r w:rsidRPr="5C976A50" w:rsidDel="00267E30">
        <w:rPr>
          <w:noProof/>
          <w:lang w:eastAsia="fr-FR"/>
        </w:rPr>
        <w:t>,</w:t>
      </w:r>
      <w:r w:rsidDel="00267E30">
        <w:rPr>
          <w:noProof/>
          <w:lang w:eastAsia="fr-FR"/>
        </w:rPr>
        <w:t xml:space="preserve"> </w:t>
      </w:r>
      <w:r w:rsidRPr="5C976A50" w:rsidDel="00267E30">
        <w:rPr>
          <w:noProof/>
          <w:lang w:eastAsia="fr-FR"/>
        </w:rPr>
        <w:t>which assessed</w:t>
      </w:r>
      <w:r w:rsidRPr="5C976A50">
        <w:rPr>
          <w:noProof/>
          <w:lang w:eastAsia="fr-FR"/>
        </w:rPr>
        <w:t xml:space="preserve"> compliance</w:t>
      </w:r>
      <w:r w:rsidRPr="5C976A50" w:rsidDel="00267E30">
        <w:rPr>
          <w:noProof/>
          <w:lang w:eastAsia="fr-FR"/>
        </w:rPr>
        <w:t xml:space="preserve"> by the seven Parliamentary political parties</w:t>
      </w:r>
      <w:r w:rsidRPr="5C976A50">
        <w:rPr>
          <w:noProof/>
          <w:lang w:eastAsia="fr-FR"/>
        </w:rPr>
        <w:t xml:space="preserve"> </w:t>
      </w:r>
      <w:r w:rsidRPr="5C976A50">
        <w:rPr>
          <w:noProof/>
        </w:rPr>
        <w:t>with the Law on Political Parties</w:t>
      </w:r>
      <w:r>
        <w:rPr>
          <w:noProof/>
        </w:rPr>
        <w:t xml:space="preserve">, </w:t>
      </w:r>
      <w:r w:rsidDel="00267E30">
        <w:rPr>
          <w:noProof/>
        </w:rPr>
        <w:t xml:space="preserve">the Audit Office </w:t>
      </w:r>
      <w:r w:rsidRPr="5C976A50">
        <w:rPr>
          <w:noProof/>
        </w:rPr>
        <w:t xml:space="preserve">identified </w:t>
      </w:r>
      <w:r>
        <w:rPr>
          <w:noProof/>
        </w:rPr>
        <w:t xml:space="preserve">several shortcomings, including </w:t>
      </w:r>
      <w:r w:rsidDel="00F5474B">
        <w:rPr>
          <w:noProof/>
        </w:rPr>
        <w:t xml:space="preserve">the </w:t>
      </w:r>
      <w:r w:rsidRPr="0072680B">
        <w:rPr>
          <w:noProof/>
        </w:rPr>
        <w:t xml:space="preserve">acceptance of contributions </w:t>
      </w:r>
      <w:r>
        <w:rPr>
          <w:noProof/>
        </w:rPr>
        <w:t>above</w:t>
      </w:r>
      <w:r w:rsidRPr="0072680B">
        <w:rPr>
          <w:noProof/>
        </w:rPr>
        <w:t xml:space="preserve"> legal limits</w:t>
      </w:r>
      <w:r>
        <w:rPr>
          <w:noProof/>
        </w:rPr>
        <w:t xml:space="preserve"> and </w:t>
      </w:r>
      <w:r>
        <w:rPr>
          <w:rStyle w:val="Bodytext1"/>
          <w:noProof/>
        </w:rPr>
        <w:t>mismatches between the amounts recorded in the special contribution registers and those declared in the annual financial statements</w:t>
      </w:r>
      <w:r w:rsidRPr="5C976A50">
        <w:rPr>
          <w:rStyle w:val="FootnoteReference"/>
          <w:noProof/>
          <w:lang w:eastAsia="fr-FR"/>
        </w:rPr>
        <w:footnoteReference w:id="112"/>
      </w:r>
      <w:r>
        <w:rPr>
          <w:noProof/>
        </w:rPr>
        <w:t>. It also highlighted that</w:t>
      </w:r>
      <w:r w:rsidRPr="5C976A50">
        <w:rPr>
          <w:noProof/>
        </w:rPr>
        <w:t xml:space="preserve"> </w:t>
      </w:r>
      <w:r w:rsidRPr="5C976A50">
        <w:rPr>
          <w:noProof/>
          <w:lang w:eastAsia="fr-FR"/>
        </w:rPr>
        <w:t>the</w:t>
      </w:r>
      <w:r>
        <w:rPr>
          <w:noProof/>
        </w:rPr>
        <w:t xml:space="preserve"> legislation does not specify </w:t>
      </w:r>
      <w:r w:rsidRPr="007B36AC">
        <w:rPr>
          <w:noProof/>
        </w:rPr>
        <w:t>whether and under what conditions associations, foundations, cooperatives or trusts may make contributions to political parties.</w:t>
      </w:r>
      <w:r>
        <w:rPr>
          <w:noProof/>
        </w:rPr>
        <w:t xml:space="preserve"> </w:t>
      </w:r>
      <w:r>
        <w:rPr>
          <w:rFonts w:eastAsia="Calibri"/>
          <w:noProof/>
          <w:color w:val="000000"/>
          <w:lang w:bidi="en-US"/>
          <w14:ligatures w14:val="standardContextual"/>
        </w:rPr>
        <w:t>T</w:t>
      </w:r>
      <w:r w:rsidRPr="5C976A50">
        <w:rPr>
          <w:rFonts w:eastAsia="Calibri"/>
          <w:noProof/>
          <w:color w:val="000000"/>
          <w:lang w:bidi="en-US"/>
          <w14:ligatures w14:val="standardContextual"/>
        </w:rPr>
        <w:t>o address the</w:t>
      </w:r>
      <w:r>
        <w:rPr>
          <w:rFonts w:eastAsia="Calibri"/>
          <w:noProof/>
          <w:color w:val="000000"/>
          <w:lang w:bidi="en-US"/>
          <w14:ligatures w14:val="standardContextual"/>
        </w:rPr>
        <w:t xml:space="preserve"> shortcomings and other gaps identified by the Audit Office</w:t>
      </w:r>
      <w:r w:rsidRPr="00DB5536">
        <w:rPr>
          <w:rFonts w:eastAsia="Calibri"/>
          <w:noProof/>
          <w:color w:val="000000"/>
          <w:lang w:bidi="en-US"/>
          <w14:ligatures w14:val="standardContextual"/>
        </w:rPr>
        <w:t xml:space="preserve">, </w:t>
      </w:r>
      <w:r w:rsidRPr="00DB5536">
        <w:rPr>
          <w:noProof/>
        </w:rPr>
        <w:t xml:space="preserve">the Registrar of Political Parties </w:t>
      </w:r>
      <w:r>
        <w:rPr>
          <w:noProof/>
        </w:rPr>
        <w:t>intends to</w:t>
      </w:r>
      <w:r w:rsidRPr="00DB5536">
        <w:rPr>
          <w:noProof/>
        </w:rPr>
        <w:t xml:space="preserve"> initiate procedures for a </w:t>
      </w:r>
      <w:r>
        <w:rPr>
          <w:noProof/>
        </w:rPr>
        <w:t>comprehensive</w:t>
      </w:r>
      <w:r w:rsidRPr="00DB5536">
        <w:rPr>
          <w:noProof/>
        </w:rPr>
        <w:t xml:space="preserve"> amendment of the Political Parties Law</w:t>
      </w:r>
      <w:r w:rsidRPr="00DB5536">
        <w:rPr>
          <w:rFonts w:eastAsia="Calibri"/>
          <w:noProof/>
          <w:color w:val="000000"/>
          <w:lang w:bidi="en-US"/>
          <w14:ligatures w14:val="standardContextual"/>
        </w:rPr>
        <w:t xml:space="preserve"> </w:t>
      </w:r>
      <w:r>
        <w:rPr>
          <w:noProof/>
        </w:rPr>
        <w:t xml:space="preserve">after </w:t>
      </w:r>
      <w:r w:rsidRPr="00DB5536">
        <w:rPr>
          <w:noProof/>
        </w:rPr>
        <w:t xml:space="preserve">the </w:t>
      </w:r>
      <w:r>
        <w:rPr>
          <w:noProof/>
        </w:rPr>
        <w:t>p</w:t>
      </w:r>
      <w:r w:rsidRPr="00DB5536">
        <w:rPr>
          <w:noProof/>
        </w:rPr>
        <w:t>arliamentary elections</w:t>
      </w:r>
      <w:r w:rsidRPr="5C976A50">
        <w:rPr>
          <w:rStyle w:val="FootnoteReference"/>
          <w:rFonts w:eastAsia="Calibri"/>
          <w:noProof/>
          <w:color w:val="000000"/>
          <w:lang w:bidi="en-US"/>
          <w14:ligatures w14:val="standardContextual"/>
        </w:rPr>
        <w:footnoteReference w:id="113"/>
      </w:r>
      <w:r w:rsidRPr="5C976A50">
        <w:rPr>
          <w:rFonts w:eastAsia="Calibri"/>
          <w:noProof/>
          <w:color w:val="000000"/>
          <w:lang w:bidi="en-US"/>
          <w14:ligatures w14:val="standardContextual"/>
        </w:rPr>
        <w:t>.</w:t>
      </w:r>
      <w:r>
        <w:rPr>
          <w:rFonts w:eastAsia="Calibri"/>
          <w:noProof/>
          <w:color w:val="000000"/>
          <w:lang w:bidi="en-US"/>
          <w14:ligatures w14:val="standardContextual"/>
        </w:rPr>
        <w:t xml:space="preserve"> In addition, </w:t>
      </w:r>
      <w:r w:rsidRPr="00AD64D3">
        <w:rPr>
          <w:rFonts w:eastAsia="Calibri"/>
          <w:noProof/>
          <w:color w:val="000000"/>
          <w:lang w:bidi="en-US"/>
          <w14:ligatures w14:val="standardContextual"/>
        </w:rPr>
        <w:t>according</w:t>
      </w:r>
      <w:r>
        <w:rPr>
          <w:rFonts w:eastAsia="Calibri"/>
          <w:noProof/>
          <w:color w:val="000000"/>
          <w:lang w:bidi="en-US"/>
          <w14:ligatures w14:val="standardContextual"/>
        </w:rPr>
        <w:t xml:space="preserve"> to</w:t>
      </w:r>
      <w:r>
        <w:rPr>
          <w:noProof/>
        </w:rPr>
        <w:t xml:space="preserve"> </w:t>
      </w:r>
      <w:r>
        <w:rPr>
          <w:noProof/>
          <w:lang w:val="en-US"/>
        </w:rPr>
        <w:t xml:space="preserve">a legal opinion issued by the </w:t>
      </w:r>
      <w:r w:rsidRPr="007D6C0A">
        <w:rPr>
          <w:noProof/>
          <w:lang w:val="en-US"/>
        </w:rPr>
        <w:t xml:space="preserve">Attorney General’s </w:t>
      </w:r>
      <w:r>
        <w:rPr>
          <w:noProof/>
          <w:lang w:val="en-US"/>
        </w:rPr>
        <w:t>office in January 2026, t</w:t>
      </w:r>
      <w:r w:rsidRPr="5C976A50">
        <w:rPr>
          <w:noProof/>
        </w:rPr>
        <w:t xml:space="preserve">here have been some </w:t>
      </w:r>
      <w:r>
        <w:rPr>
          <w:noProof/>
        </w:rPr>
        <w:t>difficulties and uncertainties surrounding the</w:t>
      </w:r>
      <w:r w:rsidRPr="5C976A50">
        <w:rPr>
          <w:rStyle w:val="Bodytext1"/>
          <w:noProof/>
        </w:rPr>
        <w:t xml:space="preserve"> procedure</w:t>
      </w:r>
      <w:r>
        <w:rPr>
          <w:rStyle w:val="Bodytext1"/>
          <w:noProof/>
        </w:rPr>
        <w:t>s</w:t>
      </w:r>
      <w:r w:rsidRPr="5C976A50">
        <w:rPr>
          <w:rStyle w:val="Bodytext1"/>
          <w:noProof/>
        </w:rPr>
        <w:t xml:space="preserve"> for </w:t>
      </w:r>
      <w:r w:rsidRPr="5C976A50">
        <w:rPr>
          <w:noProof/>
        </w:rPr>
        <w:t xml:space="preserve">the recovery or redistribution of </w:t>
      </w:r>
      <w:r>
        <w:rPr>
          <w:noProof/>
        </w:rPr>
        <w:t>certain</w:t>
      </w:r>
      <w:r w:rsidRPr="5C976A50">
        <w:rPr>
          <w:noProof/>
        </w:rPr>
        <w:t xml:space="preserve"> </w:t>
      </w:r>
      <w:r>
        <w:rPr>
          <w:noProof/>
        </w:rPr>
        <w:t>state</w:t>
      </w:r>
      <w:r w:rsidRPr="5C976A50">
        <w:rPr>
          <w:noProof/>
        </w:rPr>
        <w:t xml:space="preserve"> funds allocated in 2018 and 2021 to political parties</w:t>
      </w:r>
      <w:r>
        <w:rPr>
          <w:rStyle w:val="FootnoteReference"/>
          <w:rFonts w:eastAsia="Calibri"/>
          <w:noProof/>
          <w:szCs w:val="24"/>
        </w:rPr>
        <w:footnoteReference w:id="114"/>
      </w:r>
      <w:r w:rsidRPr="5C976A50">
        <w:rPr>
          <w:noProof/>
        </w:rPr>
        <w:t xml:space="preserve">. </w:t>
      </w:r>
      <w:bookmarkEnd w:id="30"/>
      <w:bookmarkEnd w:id="31"/>
    </w:p>
    <w:bookmarkEnd w:id="29"/>
    <w:p w14:paraId="6E66A4FA" w14:textId="77777777" w:rsidR="0040534C" w:rsidRPr="0097111C" w:rsidRDefault="0040534C" w:rsidP="0040534C">
      <w:pPr>
        <w:rPr>
          <w:rFonts w:eastAsia="Calibri"/>
          <w:noProof/>
          <w:szCs w:val="24"/>
        </w:rPr>
      </w:pPr>
      <w:r w:rsidRPr="0097111C">
        <w:rPr>
          <w:rFonts w:eastAsia="Calibri"/>
          <w:b/>
          <w:bCs/>
          <w:noProof/>
          <w:szCs w:val="24"/>
        </w:rPr>
        <w:t xml:space="preserve">Measures continue to be deployed to tackle risks in </w:t>
      </w:r>
      <w:r>
        <w:rPr>
          <w:rFonts w:eastAsia="Calibri"/>
          <w:b/>
          <w:bCs/>
          <w:noProof/>
          <w:szCs w:val="24"/>
        </w:rPr>
        <w:t xml:space="preserve">public </w:t>
      </w:r>
      <w:r w:rsidRPr="0097111C">
        <w:rPr>
          <w:rFonts w:eastAsia="Calibri"/>
          <w:b/>
          <w:bCs/>
          <w:noProof/>
          <w:szCs w:val="24"/>
        </w:rPr>
        <w:t>procurement</w:t>
      </w:r>
      <w:r w:rsidRPr="0097111C" w:rsidDel="009F53F2">
        <w:rPr>
          <w:rFonts w:eastAsia="Calibri"/>
          <w:b/>
          <w:bCs/>
          <w:noProof/>
          <w:szCs w:val="24"/>
        </w:rPr>
        <w:t>.</w:t>
      </w:r>
      <w:r w:rsidRPr="00813C85" w:rsidDel="009F53F2">
        <w:rPr>
          <w:rFonts w:eastAsia="Calibri"/>
          <w:b/>
          <w:noProof/>
          <w:szCs w:val="24"/>
        </w:rPr>
        <w:t xml:space="preserve"> </w:t>
      </w:r>
      <w:r w:rsidRPr="00571CC4">
        <w:rPr>
          <w:rFonts w:eastAsia="Calibri"/>
          <w:noProof/>
          <w:szCs w:val="24"/>
        </w:rPr>
        <w:t xml:space="preserve">Businesses’ attitudes towards corruption in the EU show that </w:t>
      </w:r>
      <w:r>
        <w:rPr>
          <w:rFonts w:eastAsia="Calibri"/>
          <w:noProof/>
          <w:szCs w:val="24"/>
        </w:rPr>
        <w:t>29</w:t>
      </w:r>
      <w:r w:rsidRPr="00571CC4">
        <w:rPr>
          <w:rFonts w:eastAsia="Calibri"/>
          <w:noProof/>
          <w:szCs w:val="24"/>
        </w:rPr>
        <w:t xml:space="preserve">% of companies in Cyprus (EU average </w:t>
      </w:r>
      <w:r>
        <w:rPr>
          <w:rFonts w:eastAsia="Calibri"/>
          <w:noProof/>
          <w:szCs w:val="24"/>
        </w:rPr>
        <w:t>30</w:t>
      </w:r>
      <w:r w:rsidRPr="00571CC4">
        <w:rPr>
          <w:rFonts w:eastAsia="Calibri"/>
          <w:noProof/>
          <w:szCs w:val="24"/>
        </w:rPr>
        <w:t>%) think that corruption has prevented them from winning a public tender or a public procurement contract in practice in the last three years</w:t>
      </w:r>
      <w:r w:rsidRPr="00571CC4">
        <w:rPr>
          <w:rFonts w:eastAsia="Calibri"/>
          <w:bCs/>
          <w:noProof/>
          <w:szCs w:val="24"/>
          <w:vertAlign w:val="superscript"/>
        </w:rPr>
        <w:footnoteReference w:id="115"/>
      </w:r>
      <w:r w:rsidRPr="00571CC4">
        <w:rPr>
          <w:rFonts w:eastAsia="Calibri"/>
          <w:noProof/>
          <w:szCs w:val="24"/>
        </w:rPr>
        <w:t xml:space="preserve">. </w:t>
      </w:r>
      <w:r>
        <w:rPr>
          <w:noProof/>
          <w:szCs w:val="24"/>
        </w:rPr>
        <w:t>43</w:t>
      </w:r>
      <w:r w:rsidRPr="00E91EC6">
        <w:rPr>
          <w:noProof/>
          <w:szCs w:val="24"/>
        </w:rPr>
        <w:t xml:space="preserve">% of companies perceive the level of independence of the public procurement </w:t>
      </w:r>
      <w:r w:rsidRPr="00781555">
        <w:rPr>
          <w:noProof/>
          <w:szCs w:val="24"/>
        </w:rPr>
        <w:t>review body (Tender Review Authority) as very or fairly good (47% in 2025)</w:t>
      </w:r>
      <w:r w:rsidRPr="00781555">
        <w:rPr>
          <w:noProof/>
          <w:szCs w:val="24"/>
          <w:vertAlign w:val="superscript"/>
        </w:rPr>
        <w:footnoteReference w:id="116"/>
      </w:r>
      <w:r w:rsidRPr="00781555">
        <w:rPr>
          <w:noProof/>
          <w:szCs w:val="24"/>
        </w:rPr>
        <w:t xml:space="preserve">. </w:t>
      </w:r>
      <w:r w:rsidRPr="00781555">
        <w:rPr>
          <w:rFonts w:eastAsia="Calibri"/>
          <w:noProof/>
          <w:szCs w:val="24"/>
        </w:rPr>
        <w:t>The Single Market and Competitiveness Scoreboard on access to public procurement in Cyprus reports 26% of single bids for 2025 (EU average 27%)</w:t>
      </w:r>
      <w:r w:rsidRPr="00781555" w:rsidDel="00012748">
        <w:rPr>
          <w:rFonts w:eastAsia="Calibri"/>
          <w:noProof/>
          <w:szCs w:val="24"/>
        </w:rPr>
        <w:t xml:space="preserve">. </w:t>
      </w:r>
      <w:r w:rsidRPr="00781555" w:rsidDel="00B3200A">
        <w:rPr>
          <w:noProof/>
          <w:szCs w:val="24"/>
        </w:rPr>
        <w:t>Corruption perception affects the attraction of Foreign Direct Investments (FDI) and the attractiveness of the country as a business hub, especially for SMEs</w:t>
      </w:r>
      <w:r w:rsidRPr="00781555">
        <w:rPr>
          <w:noProof/>
          <w:szCs w:val="24"/>
        </w:rPr>
        <w:t xml:space="preserve">. </w:t>
      </w:r>
      <w:r w:rsidRPr="00781555">
        <w:rPr>
          <w:rFonts w:eastAsia="Calibri"/>
          <w:bCs/>
          <w:noProof/>
          <w:szCs w:val="24"/>
        </w:rPr>
        <w:t>The Police and civil society continue to highlight public procurement as particularly prone to</w:t>
      </w:r>
      <w:r w:rsidRPr="00141D49">
        <w:rPr>
          <w:rFonts w:eastAsia="Calibri"/>
          <w:bCs/>
          <w:noProof/>
          <w:szCs w:val="24"/>
        </w:rPr>
        <w:t xml:space="preserve"> corruption</w:t>
      </w:r>
      <w:r w:rsidRPr="0097111C">
        <w:rPr>
          <w:rFonts w:eastAsia="Calibri"/>
          <w:bCs/>
          <w:noProof/>
          <w:szCs w:val="24"/>
          <w:vertAlign w:val="superscript"/>
        </w:rPr>
        <w:footnoteReference w:id="117"/>
      </w:r>
      <w:r w:rsidRPr="0097111C">
        <w:rPr>
          <w:rFonts w:eastAsia="Calibri"/>
          <w:bCs/>
          <w:noProof/>
          <w:szCs w:val="24"/>
        </w:rPr>
        <w:t>.</w:t>
      </w:r>
      <w:r w:rsidRPr="00E91EC6">
        <w:rPr>
          <w:noProof/>
          <w:szCs w:val="24"/>
        </w:rPr>
        <w:t xml:space="preserve"> </w:t>
      </w:r>
      <w:r w:rsidRPr="00E91EC6">
        <w:rPr>
          <w:rFonts w:eastAsia="Calibri"/>
          <w:noProof/>
          <w:szCs w:val="24"/>
        </w:rPr>
        <w:t>The Government pursues its efforts to improve traceability, accountability and transparency, in particular with the</w:t>
      </w:r>
      <w:r w:rsidRPr="00571CC4">
        <w:rPr>
          <w:rFonts w:eastAsia="Calibri"/>
          <w:noProof/>
          <w:szCs w:val="24"/>
        </w:rPr>
        <w:t xml:space="preserve"> digitalisation of procurement</w:t>
      </w:r>
      <w:r w:rsidRPr="0097111C">
        <w:rPr>
          <w:rFonts w:eastAsia="Calibri"/>
          <w:noProof/>
          <w:szCs w:val="24"/>
        </w:rPr>
        <w:t>.</w:t>
      </w:r>
      <w:r w:rsidRPr="0097111C">
        <w:rPr>
          <w:rFonts w:eastAsia="Calibri"/>
          <w:bCs/>
          <w:noProof/>
          <w:szCs w:val="24"/>
        </w:rPr>
        <w:t xml:space="preserve"> </w:t>
      </w:r>
      <w:r w:rsidRPr="0097111C">
        <w:rPr>
          <w:noProof/>
          <w:szCs w:val="24"/>
        </w:rPr>
        <w:t xml:space="preserve">The Public Procurement Directorate is carrying out a comprehensive reform aimed at the professionalisation of public procurement and </w:t>
      </w:r>
      <w:r>
        <w:rPr>
          <w:noProof/>
          <w:szCs w:val="24"/>
        </w:rPr>
        <w:t xml:space="preserve">45 </w:t>
      </w:r>
      <w:r w:rsidRPr="0097111C">
        <w:rPr>
          <w:noProof/>
          <w:szCs w:val="24"/>
        </w:rPr>
        <w:t xml:space="preserve">procurement officers have completed </w:t>
      </w:r>
      <w:r w:rsidRPr="00670FE9">
        <w:rPr>
          <w:noProof/>
          <w:szCs w:val="24"/>
        </w:rPr>
        <w:t>an extensive training programme</w:t>
      </w:r>
      <w:r w:rsidRPr="00670FE9">
        <w:rPr>
          <w:noProof/>
          <w:szCs w:val="24"/>
          <w:vertAlign w:val="superscript"/>
        </w:rPr>
        <w:footnoteReference w:id="118"/>
      </w:r>
      <w:r w:rsidRPr="00670FE9">
        <w:rPr>
          <w:noProof/>
          <w:szCs w:val="24"/>
        </w:rPr>
        <w:t xml:space="preserve">. A new e-procurement platform </w:t>
      </w:r>
      <w:r w:rsidRPr="00AD64D3">
        <w:rPr>
          <w:noProof/>
          <w:szCs w:val="24"/>
        </w:rPr>
        <w:t>became</w:t>
      </w:r>
      <w:r w:rsidRPr="00670FE9">
        <w:rPr>
          <w:noProof/>
          <w:szCs w:val="24"/>
        </w:rPr>
        <w:t xml:space="preserve"> operational in February 2026. The system provides end-to-end visibility and supports audit authorities in</w:t>
      </w:r>
      <w:r w:rsidRPr="0097111C">
        <w:rPr>
          <w:noProof/>
          <w:szCs w:val="24"/>
        </w:rPr>
        <w:t xml:space="preserve"> their work, while significantly strengthening transparency and accountability</w:t>
      </w:r>
      <w:r w:rsidRPr="0097111C">
        <w:rPr>
          <w:noProof/>
          <w:szCs w:val="24"/>
          <w:vertAlign w:val="superscript"/>
        </w:rPr>
        <w:footnoteReference w:id="119"/>
      </w:r>
      <w:r w:rsidRPr="0097111C">
        <w:rPr>
          <w:noProof/>
          <w:szCs w:val="24"/>
        </w:rPr>
        <w:t xml:space="preserve">. </w:t>
      </w:r>
      <w:r>
        <w:rPr>
          <w:noProof/>
          <w:szCs w:val="24"/>
        </w:rPr>
        <w:t>T</w:t>
      </w:r>
      <w:r w:rsidRPr="0097111C">
        <w:rPr>
          <w:noProof/>
          <w:szCs w:val="24"/>
        </w:rPr>
        <w:t>he IAAC intends to review the National Code of Ethics for Public Procurement</w:t>
      </w:r>
      <w:r w:rsidRPr="0097111C">
        <w:rPr>
          <w:noProof/>
          <w:szCs w:val="24"/>
          <w:vertAlign w:val="superscript"/>
          <w:lang w:eastAsia="fr-FR"/>
        </w:rPr>
        <w:footnoteReference w:id="120"/>
      </w:r>
      <w:r w:rsidRPr="0097111C">
        <w:rPr>
          <w:noProof/>
          <w:szCs w:val="24"/>
          <w:lang w:eastAsia="fr-FR"/>
        </w:rPr>
        <w:t>.</w:t>
      </w:r>
      <w:r w:rsidRPr="0097111C">
        <w:rPr>
          <w:rFonts w:eastAsia="Calibri"/>
          <w:noProof/>
          <w:szCs w:val="24"/>
        </w:rPr>
        <w:t xml:space="preserve"> </w:t>
      </w:r>
      <w:r w:rsidRPr="00571CC4">
        <w:rPr>
          <w:rFonts w:eastAsia="Calibri"/>
          <w:noProof/>
          <w:szCs w:val="24"/>
        </w:rPr>
        <w:t xml:space="preserve">In </w:t>
      </w:r>
      <w:r>
        <w:rPr>
          <w:rFonts w:eastAsia="Calibri"/>
          <w:noProof/>
          <w:szCs w:val="24"/>
        </w:rPr>
        <w:t>2025</w:t>
      </w:r>
      <w:r w:rsidRPr="00571CC4">
        <w:rPr>
          <w:rFonts w:eastAsia="Calibri"/>
          <w:noProof/>
          <w:szCs w:val="24"/>
        </w:rPr>
        <w:t xml:space="preserve">, the Treasury of the Republic of Cyprus </w:t>
      </w:r>
      <w:r>
        <w:rPr>
          <w:rFonts w:eastAsia="Calibri"/>
          <w:noProof/>
          <w:szCs w:val="24"/>
        </w:rPr>
        <w:t xml:space="preserve">did not </w:t>
      </w:r>
      <w:r w:rsidRPr="00571CC4">
        <w:rPr>
          <w:rFonts w:eastAsia="Calibri"/>
          <w:noProof/>
          <w:szCs w:val="24"/>
        </w:rPr>
        <w:t>identif</w:t>
      </w:r>
      <w:r>
        <w:rPr>
          <w:rFonts w:eastAsia="Calibri"/>
          <w:noProof/>
          <w:szCs w:val="24"/>
        </w:rPr>
        <w:t>y</w:t>
      </w:r>
      <w:r w:rsidRPr="00571CC4">
        <w:rPr>
          <w:rFonts w:eastAsia="Calibri"/>
          <w:noProof/>
          <w:szCs w:val="24"/>
        </w:rPr>
        <w:t xml:space="preserve"> cases of conflicts of interest</w:t>
      </w:r>
      <w:r w:rsidRPr="00571CC4">
        <w:rPr>
          <w:rFonts w:eastAsia="Calibri"/>
          <w:noProof/>
          <w:szCs w:val="24"/>
          <w:vertAlign w:val="superscript"/>
        </w:rPr>
        <w:footnoteReference w:id="121"/>
      </w:r>
      <w:bookmarkStart w:id="33" w:name="_Hlk221190331"/>
      <w:r>
        <w:rPr>
          <w:rFonts w:eastAsia="Calibri"/>
          <w:noProof/>
          <w:szCs w:val="24"/>
        </w:rPr>
        <w:t>.</w:t>
      </w:r>
    </w:p>
    <w:bookmarkEnd w:id="33"/>
    <w:p w14:paraId="72D4083F" w14:textId="77777777" w:rsidR="0040534C" w:rsidRPr="00E87A0D" w:rsidRDefault="0040534C" w:rsidP="00C2404F">
      <w:pPr>
        <w:pStyle w:val="Heading1"/>
        <w:numPr>
          <w:ilvl w:val="0"/>
          <w:numId w:val="34"/>
        </w:numPr>
        <w:spacing w:before="0"/>
        <w:rPr>
          <w:noProof/>
          <w:u w:val="single"/>
        </w:rPr>
      </w:pPr>
      <w:r w:rsidRPr="00E87A0D">
        <w:rPr>
          <w:noProof/>
          <w:u w:val="single"/>
        </w:rPr>
        <w:t xml:space="preserve">Media Pluralism and Media Freedom </w:t>
      </w:r>
    </w:p>
    <w:p w14:paraId="4B4D5BC9" w14:textId="1D94207A" w:rsidR="0040534C" w:rsidRPr="00702DBE" w:rsidRDefault="0040534C" w:rsidP="0040534C">
      <w:pPr>
        <w:rPr>
          <w:noProof/>
        </w:rPr>
      </w:pPr>
      <w:r w:rsidRPr="7DD8A253">
        <w:rPr>
          <w:b/>
          <w:bCs/>
          <w:noProof/>
        </w:rPr>
        <w:t>Measures</w:t>
      </w:r>
      <w:r>
        <w:rPr>
          <w:b/>
          <w:bCs/>
          <w:noProof/>
        </w:rPr>
        <w:t xml:space="preserve"> are being taken to ensure the adequacy of the resources of the</w:t>
      </w:r>
      <w:r w:rsidRPr="008528B6">
        <w:rPr>
          <w:b/>
          <w:bCs/>
          <w:noProof/>
        </w:rPr>
        <w:t xml:space="preserve"> regulator for audiovisual media services, renamed the Radio, Television and Digital Services Authority (RTDSA</w:t>
      </w:r>
      <w:r w:rsidRPr="000E06C3">
        <w:rPr>
          <w:b/>
          <w:bCs/>
          <w:noProof/>
        </w:rPr>
        <w:t>)</w:t>
      </w:r>
      <w:r w:rsidRPr="000E06C3">
        <w:rPr>
          <w:b/>
          <w:noProof/>
        </w:rPr>
        <w:t>.</w:t>
      </w:r>
      <w:r w:rsidRPr="7DD8A253">
        <w:rPr>
          <w:noProof/>
        </w:rPr>
        <w:t xml:space="preserve"> </w:t>
      </w:r>
      <w:r w:rsidRPr="2397EF14">
        <w:rPr>
          <w:noProof/>
          <w:lang w:val="en-US"/>
        </w:rPr>
        <w:t>There are plans to increase the regulator’s number of permanent staff in response to its new competences</w:t>
      </w:r>
      <w:r>
        <w:rPr>
          <w:noProof/>
          <w:lang w:val="en-US"/>
        </w:rPr>
        <w:t>,</w:t>
      </w:r>
      <w:r w:rsidRPr="2397EF14">
        <w:rPr>
          <w:noProof/>
          <w:lang w:val="en-US"/>
        </w:rPr>
        <w:t xml:space="preserve"> and a state grant of EUR 200 000 has been included in the regulator’s 2026 annual budget to cover initial staffing and technical resource needs</w:t>
      </w:r>
      <w:r w:rsidRPr="2397EF14">
        <w:rPr>
          <w:rStyle w:val="FootnoteReference"/>
          <w:noProof/>
          <w:lang w:val="en-US"/>
        </w:rPr>
        <w:footnoteReference w:id="122"/>
      </w:r>
      <w:r w:rsidRPr="2397EF14">
        <w:rPr>
          <w:noProof/>
          <w:lang w:val="en-US"/>
        </w:rPr>
        <w:t>.</w:t>
      </w:r>
      <w:r w:rsidR="005C1107">
        <w:rPr>
          <w:noProof/>
          <w:lang w:val="en-US"/>
        </w:rPr>
        <w:t xml:space="preserve"> </w:t>
      </w:r>
      <w:r w:rsidR="005C1107" w:rsidRPr="000E06C3">
        <w:rPr>
          <w:noProof/>
        </w:rPr>
        <w:t>The 2026 Media Pluralism Monitor maintains</w:t>
      </w:r>
      <w:r w:rsidR="009B3F30">
        <w:rPr>
          <w:noProof/>
        </w:rPr>
        <w:t xml:space="preserve"> its medium-low</w:t>
      </w:r>
      <w:r w:rsidR="005C1107" w:rsidRPr="000E06C3">
        <w:rPr>
          <w:noProof/>
        </w:rPr>
        <w:t xml:space="preserve"> risk analysis for the independence of the media regulator</w:t>
      </w:r>
      <w:r w:rsidR="005C1107">
        <w:rPr>
          <w:rStyle w:val="FootnoteReference"/>
          <w:noProof/>
        </w:rPr>
        <w:footnoteReference w:id="123"/>
      </w:r>
      <w:r w:rsidR="009B3F30">
        <w:rPr>
          <w:noProof/>
        </w:rPr>
        <w:t>.</w:t>
      </w:r>
    </w:p>
    <w:p w14:paraId="71C71472" w14:textId="696AFE29" w:rsidR="0040534C" w:rsidRPr="00396960" w:rsidRDefault="0040534C" w:rsidP="0040534C">
      <w:pPr>
        <w:rPr>
          <w:noProof/>
          <w:lang w:eastAsia="fr-FR"/>
        </w:rPr>
      </w:pPr>
      <w:r>
        <w:rPr>
          <w:b/>
          <w:bCs/>
          <w:noProof/>
          <w:szCs w:val="24"/>
        </w:rPr>
        <w:t>R</w:t>
      </w:r>
      <w:r w:rsidRPr="00702DBE">
        <w:rPr>
          <w:b/>
          <w:bCs/>
          <w:noProof/>
          <w:szCs w:val="24"/>
        </w:rPr>
        <w:t>eforms to improve</w:t>
      </w:r>
      <w:r>
        <w:rPr>
          <w:b/>
          <w:bCs/>
          <w:noProof/>
          <w:szCs w:val="24"/>
        </w:rPr>
        <w:t xml:space="preserve"> t</w:t>
      </w:r>
      <w:r w:rsidRPr="00702DBE">
        <w:rPr>
          <w:b/>
          <w:bCs/>
          <w:noProof/>
          <w:szCs w:val="24"/>
        </w:rPr>
        <w:t xml:space="preserve">he legal framework relating to transparency of media ownership are at an advanced stage. </w:t>
      </w:r>
      <w:r>
        <w:rPr>
          <w:noProof/>
          <w:szCs w:val="24"/>
        </w:rPr>
        <w:t>T</w:t>
      </w:r>
      <w:r w:rsidRPr="00702DBE">
        <w:rPr>
          <w:noProof/>
          <w:szCs w:val="24"/>
        </w:rPr>
        <w:t>he previous Report</w:t>
      </w:r>
      <w:r>
        <w:rPr>
          <w:noProof/>
          <w:szCs w:val="24"/>
        </w:rPr>
        <w:t xml:space="preserve"> noted that</w:t>
      </w:r>
      <w:r w:rsidRPr="00702DBE">
        <w:rPr>
          <w:noProof/>
          <w:szCs w:val="24"/>
        </w:rPr>
        <w:t xml:space="preserve"> digital and print media remain unregulated as regards transparency of media ownership</w:t>
      </w:r>
      <w:r w:rsidRPr="00702DBE">
        <w:rPr>
          <w:rStyle w:val="FootnoteReference"/>
          <w:noProof/>
          <w:szCs w:val="24"/>
        </w:rPr>
        <w:footnoteReference w:id="124"/>
      </w:r>
      <w:r w:rsidRPr="00702DBE">
        <w:rPr>
          <w:noProof/>
          <w:szCs w:val="24"/>
        </w:rPr>
        <w:t>, and stakeholders report that comprehensive ownership information of audiovisual media services is also not made accessible to the public</w:t>
      </w:r>
      <w:r w:rsidRPr="000E06C3">
        <w:rPr>
          <w:rStyle w:val="FootnoteReference"/>
          <w:noProof/>
          <w:szCs w:val="24"/>
        </w:rPr>
        <w:footnoteReference w:id="125"/>
      </w:r>
      <w:r w:rsidRPr="000E06C3">
        <w:rPr>
          <w:noProof/>
          <w:szCs w:val="24"/>
        </w:rPr>
        <w:t xml:space="preserve">. </w:t>
      </w:r>
      <w:r w:rsidRPr="00702DBE">
        <w:rPr>
          <w:noProof/>
          <w:szCs w:val="24"/>
        </w:rPr>
        <w:t>Stakeholders also raise concerns about high levels of media ownership by family members of political actors and individuals with business interests in other sectors, which could undermine the editorial independence of the media</w:t>
      </w:r>
      <w:r w:rsidRPr="00702DBE">
        <w:rPr>
          <w:rStyle w:val="FootnoteReference"/>
          <w:noProof/>
          <w:szCs w:val="24"/>
        </w:rPr>
        <w:footnoteReference w:id="126"/>
      </w:r>
      <w:r w:rsidRPr="00702DBE">
        <w:rPr>
          <w:noProof/>
          <w:szCs w:val="24"/>
        </w:rPr>
        <w:t xml:space="preserve">. </w:t>
      </w:r>
      <w:r w:rsidRPr="000E06C3">
        <w:rPr>
          <w:noProof/>
          <w:szCs w:val="24"/>
        </w:rPr>
        <w:t xml:space="preserve">In view of these factors, the </w:t>
      </w:r>
      <w:r w:rsidRPr="000E06C3">
        <w:rPr>
          <w:noProof/>
        </w:rPr>
        <w:t>Media Pluralism Monitor continues to rank this area as very-high risk</w:t>
      </w:r>
      <w:r>
        <w:rPr>
          <w:rStyle w:val="FootnoteReference"/>
          <w:noProof/>
        </w:rPr>
        <w:footnoteReference w:id="127"/>
      </w:r>
      <w:r>
        <w:rPr>
          <w:noProof/>
          <w:szCs w:val="24"/>
        </w:rPr>
        <w:t xml:space="preserve">. In January 2026, the Government submitted to Parliament a draft law with a view to alignment with </w:t>
      </w:r>
      <w:r w:rsidRPr="00702DBE">
        <w:rPr>
          <w:noProof/>
          <w:szCs w:val="24"/>
        </w:rPr>
        <w:t>the E</w:t>
      </w:r>
      <w:r>
        <w:rPr>
          <w:noProof/>
          <w:szCs w:val="24"/>
        </w:rPr>
        <w:t xml:space="preserve">uropean </w:t>
      </w:r>
      <w:r w:rsidRPr="00702DBE">
        <w:rPr>
          <w:noProof/>
          <w:szCs w:val="24"/>
        </w:rPr>
        <w:t>M</w:t>
      </w:r>
      <w:r>
        <w:rPr>
          <w:noProof/>
          <w:szCs w:val="24"/>
        </w:rPr>
        <w:t xml:space="preserve">edia </w:t>
      </w:r>
      <w:r w:rsidRPr="00702DBE">
        <w:rPr>
          <w:noProof/>
          <w:szCs w:val="24"/>
        </w:rPr>
        <w:t>F</w:t>
      </w:r>
      <w:r>
        <w:rPr>
          <w:noProof/>
          <w:szCs w:val="24"/>
        </w:rPr>
        <w:t xml:space="preserve">reedom </w:t>
      </w:r>
      <w:r w:rsidRPr="00702DBE">
        <w:rPr>
          <w:noProof/>
          <w:szCs w:val="24"/>
        </w:rPr>
        <w:t>A</w:t>
      </w:r>
      <w:r>
        <w:rPr>
          <w:noProof/>
          <w:szCs w:val="24"/>
        </w:rPr>
        <w:t xml:space="preserve">ct (‘the draft law for the implementation of the </w:t>
      </w:r>
      <w:r w:rsidRPr="00AA688E">
        <w:rPr>
          <w:noProof/>
          <w:szCs w:val="24"/>
        </w:rPr>
        <w:t>EMFA</w:t>
      </w:r>
      <w:r>
        <w:rPr>
          <w:noProof/>
          <w:szCs w:val="24"/>
        </w:rPr>
        <w:t>’</w:t>
      </w:r>
      <w:r w:rsidRPr="00702DBE">
        <w:rPr>
          <w:rStyle w:val="FootnoteReference"/>
          <w:noProof/>
          <w:szCs w:val="24"/>
        </w:rPr>
        <w:footnoteReference w:id="128"/>
      </w:r>
      <w:r>
        <w:rPr>
          <w:noProof/>
          <w:szCs w:val="24"/>
        </w:rPr>
        <w:t>). U</w:t>
      </w:r>
      <w:r w:rsidRPr="00702DBE">
        <w:rPr>
          <w:noProof/>
          <w:szCs w:val="24"/>
        </w:rPr>
        <w:t>nder th</w:t>
      </w:r>
      <w:r>
        <w:rPr>
          <w:noProof/>
          <w:szCs w:val="24"/>
        </w:rPr>
        <w:t>is</w:t>
      </w:r>
      <w:r w:rsidRPr="00702DBE">
        <w:rPr>
          <w:noProof/>
          <w:szCs w:val="24"/>
        </w:rPr>
        <w:t xml:space="preserve"> draft law</w:t>
      </w:r>
      <w:r>
        <w:rPr>
          <w:rStyle w:val="CommentReference"/>
          <w:noProof/>
          <w:szCs w:val="24"/>
        </w:rPr>
        <w:t>,</w:t>
      </w:r>
      <w:r w:rsidRPr="00702DBE">
        <w:rPr>
          <w:noProof/>
          <w:szCs w:val="24"/>
        </w:rPr>
        <w:t xml:space="preserve"> the</w:t>
      </w:r>
      <w:r w:rsidRPr="00702DBE">
        <w:rPr>
          <w:b/>
          <w:bCs/>
          <w:noProof/>
          <w:szCs w:val="24"/>
        </w:rPr>
        <w:t xml:space="preserve"> </w:t>
      </w:r>
      <w:r w:rsidRPr="00702DBE">
        <w:rPr>
          <w:noProof/>
          <w:szCs w:val="24"/>
        </w:rPr>
        <w:t>RTDSA will be mandated to develop and maintain a database containing comprehensive information on media ownership, including beneficial owners</w:t>
      </w:r>
      <w:r w:rsidRPr="00702DBE">
        <w:rPr>
          <w:rStyle w:val="FootnoteReference"/>
          <w:noProof/>
          <w:szCs w:val="24"/>
        </w:rPr>
        <w:footnoteReference w:id="129"/>
      </w:r>
      <w:r w:rsidRPr="00702DBE">
        <w:rPr>
          <w:noProof/>
          <w:szCs w:val="24"/>
        </w:rPr>
        <w:t xml:space="preserve">. </w:t>
      </w:r>
      <w:r>
        <w:rPr>
          <w:noProof/>
          <w:szCs w:val="24"/>
        </w:rPr>
        <w:t>It</w:t>
      </w:r>
      <w:r w:rsidRPr="00702DBE" w:rsidDel="00011129">
        <w:rPr>
          <w:noProof/>
          <w:szCs w:val="24"/>
        </w:rPr>
        <w:t xml:space="preserve"> </w:t>
      </w:r>
      <w:r w:rsidRPr="00702DBE">
        <w:rPr>
          <w:noProof/>
          <w:szCs w:val="24"/>
        </w:rPr>
        <w:t xml:space="preserve">will </w:t>
      </w:r>
      <w:r>
        <w:rPr>
          <w:noProof/>
          <w:szCs w:val="24"/>
        </w:rPr>
        <w:t>also be empowered</w:t>
      </w:r>
      <w:r w:rsidRPr="00702DBE">
        <w:rPr>
          <w:noProof/>
          <w:szCs w:val="24"/>
        </w:rPr>
        <w:t xml:space="preserve"> to approve market concentrations involving media service providers</w:t>
      </w:r>
      <w:r w:rsidRPr="00702DBE">
        <w:rPr>
          <w:rStyle w:val="FootnoteReference"/>
          <w:noProof/>
          <w:szCs w:val="24"/>
        </w:rPr>
        <w:footnoteReference w:id="130"/>
      </w:r>
      <w:r w:rsidRPr="00702DBE">
        <w:rPr>
          <w:noProof/>
          <w:szCs w:val="24"/>
        </w:rPr>
        <w:t>.</w:t>
      </w:r>
      <w:r w:rsidRPr="00396960" w:rsidDel="00755922">
        <w:rPr>
          <w:b/>
          <w:noProof/>
          <w:lang w:eastAsia="fr-FR"/>
        </w:rPr>
        <w:t xml:space="preserve"> </w:t>
      </w:r>
      <w:r>
        <w:rPr>
          <w:b/>
          <w:noProof/>
          <w:lang w:eastAsia="fr-FR"/>
        </w:rPr>
        <w:t xml:space="preserve"> </w:t>
      </w:r>
    </w:p>
    <w:p w14:paraId="7D683EDD" w14:textId="2AC9F204" w:rsidR="0040534C" w:rsidRPr="00702DBE" w:rsidRDefault="0040534C" w:rsidP="0040534C">
      <w:pPr>
        <w:rPr>
          <w:noProof/>
        </w:rPr>
      </w:pPr>
      <w:r>
        <w:rPr>
          <w:b/>
          <w:noProof/>
        </w:rPr>
        <w:t>Work</w:t>
      </w:r>
      <w:r w:rsidRPr="2397EF14">
        <w:rPr>
          <w:b/>
          <w:noProof/>
        </w:rPr>
        <w:t xml:space="preserve"> to adopt legislation to ensure fair and transparent distribution of advertising expenditure by the state and state-owned companies</w:t>
      </w:r>
      <w:r>
        <w:rPr>
          <w:b/>
          <w:noProof/>
        </w:rPr>
        <w:t xml:space="preserve"> continues</w:t>
      </w:r>
      <w:r w:rsidRPr="2397EF14">
        <w:rPr>
          <w:rStyle w:val="FootnoteReference"/>
          <w:noProof/>
        </w:rPr>
        <w:footnoteReference w:id="131"/>
      </w:r>
      <w:r w:rsidRPr="2397EF14">
        <w:rPr>
          <w:b/>
          <w:bCs/>
          <w:noProof/>
        </w:rPr>
        <w:t>.</w:t>
      </w:r>
      <w:r w:rsidRPr="2397EF14">
        <w:rPr>
          <w:noProof/>
        </w:rPr>
        <w:t xml:space="preserve"> </w:t>
      </w:r>
      <w:r>
        <w:rPr>
          <w:noProof/>
        </w:rPr>
        <w:t xml:space="preserve">Currently there is no specific legislation regulating state advertising across the board. Stakeholders report that this state of affairs </w:t>
      </w:r>
      <w:r w:rsidRPr="000E06C3">
        <w:rPr>
          <w:noProof/>
        </w:rPr>
        <w:t>undermines the public’s trust in the independence of private media</w:t>
      </w:r>
      <w:r w:rsidRPr="000E06C3">
        <w:rPr>
          <w:rStyle w:val="FootnoteReference"/>
          <w:noProof/>
          <w:lang w:val="en-US"/>
        </w:rPr>
        <w:footnoteReference w:id="132"/>
      </w:r>
      <w:r w:rsidRPr="000E06C3">
        <w:rPr>
          <w:noProof/>
        </w:rPr>
        <w:t xml:space="preserve">. </w:t>
      </w:r>
      <w:r w:rsidRPr="2397EF14">
        <w:rPr>
          <w:noProof/>
        </w:rPr>
        <w:t xml:space="preserve">Furthermore, some stakeholders have raised concerns about non-transparent funding directly from the </w:t>
      </w:r>
      <w:r w:rsidRPr="2397EF14">
        <w:rPr>
          <w:noProof/>
          <w:lang w:val="en-US"/>
        </w:rPr>
        <w:t>Presidency and Ministries</w:t>
      </w:r>
      <w:r w:rsidRPr="2397EF14">
        <w:rPr>
          <w:rStyle w:val="FootnoteReference"/>
          <w:noProof/>
          <w:lang w:val="en-US"/>
        </w:rPr>
        <w:footnoteReference w:id="133"/>
      </w:r>
      <w:r>
        <w:rPr>
          <w:noProof/>
        </w:rPr>
        <w:t xml:space="preserve">. </w:t>
      </w:r>
      <w:r w:rsidRPr="2397EF14">
        <w:rPr>
          <w:noProof/>
        </w:rPr>
        <w:t>The</w:t>
      </w:r>
      <w:r w:rsidRPr="2397EF14" w:rsidDel="0096569F">
        <w:rPr>
          <w:noProof/>
        </w:rPr>
        <w:t xml:space="preserve"> </w:t>
      </w:r>
      <w:r w:rsidRPr="2397EF14">
        <w:rPr>
          <w:noProof/>
        </w:rPr>
        <w:t>draft law for the implementation of the EMFA</w:t>
      </w:r>
      <w:r w:rsidR="00331EDF" w:rsidRPr="00B479A2">
        <w:rPr>
          <w:noProof/>
        </w:rPr>
        <w:t>, which is pending before Parliament,</w:t>
      </w:r>
      <w:r w:rsidRPr="2397EF14">
        <w:rPr>
          <w:noProof/>
        </w:rPr>
        <w:t xml:space="preserve"> </w:t>
      </w:r>
      <w:r>
        <w:rPr>
          <w:noProof/>
        </w:rPr>
        <w:t>addresses the</w:t>
      </w:r>
      <w:r w:rsidRPr="2397EF14">
        <w:rPr>
          <w:noProof/>
        </w:rPr>
        <w:t xml:space="preserve"> allocation of funds to media companies for promotional campaigns, which falls under the responsibility of the </w:t>
      </w:r>
      <w:r>
        <w:rPr>
          <w:noProof/>
        </w:rPr>
        <w:t>Government’s Press and Information Office (</w:t>
      </w:r>
      <w:r w:rsidRPr="2397EF14">
        <w:rPr>
          <w:noProof/>
        </w:rPr>
        <w:t>P</w:t>
      </w:r>
      <w:r w:rsidR="003205A8">
        <w:rPr>
          <w:noProof/>
        </w:rPr>
        <w:t>I</w:t>
      </w:r>
      <w:r w:rsidRPr="2397EF14">
        <w:rPr>
          <w:noProof/>
        </w:rPr>
        <w:t>O</w:t>
      </w:r>
      <w:r>
        <w:rPr>
          <w:noProof/>
        </w:rPr>
        <w:t>)</w:t>
      </w:r>
      <w:r w:rsidRPr="2397EF14">
        <w:rPr>
          <w:noProof/>
        </w:rPr>
        <w:t>. The</w:t>
      </w:r>
      <w:r w:rsidRPr="2397EF14" w:rsidDel="0096569F">
        <w:rPr>
          <w:noProof/>
        </w:rPr>
        <w:t xml:space="preserve"> </w:t>
      </w:r>
      <w:r w:rsidRPr="2397EF14">
        <w:rPr>
          <w:noProof/>
        </w:rPr>
        <w:t>draft also stipulates that funds will be allocated according to the procedures, guidelines, and criteria published on the P</w:t>
      </w:r>
      <w:r w:rsidR="003205A8">
        <w:rPr>
          <w:noProof/>
        </w:rPr>
        <w:t>IO</w:t>
      </w:r>
      <w:r w:rsidRPr="2397EF14">
        <w:rPr>
          <w:noProof/>
        </w:rPr>
        <w:t>’s official website, they will be distributed to a wide variety of media outlets, and the media regulator (RTDSA) will be empowered to monitor and report on expenditures</w:t>
      </w:r>
      <w:r w:rsidRPr="2397EF14">
        <w:rPr>
          <w:rStyle w:val="FootnoteReference"/>
          <w:noProof/>
        </w:rPr>
        <w:footnoteReference w:id="134"/>
      </w:r>
      <w:r w:rsidRPr="2397EF14">
        <w:rPr>
          <w:noProof/>
        </w:rPr>
        <w:t xml:space="preserve">. </w:t>
      </w:r>
      <w:r w:rsidRPr="000E06C3">
        <w:rPr>
          <w:noProof/>
        </w:rPr>
        <w:t>The Media Pluralism Monitor has increased its risk level for this area to medium-high</w:t>
      </w:r>
      <w:r>
        <w:rPr>
          <w:noProof/>
        </w:rPr>
        <w:t xml:space="preserve"> risk</w:t>
      </w:r>
      <w:r>
        <w:rPr>
          <w:rStyle w:val="FootnoteReference"/>
          <w:noProof/>
          <w:szCs w:val="24"/>
        </w:rPr>
        <w:footnoteReference w:id="135"/>
      </w:r>
      <w:r>
        <w:rPr>
          <w:noProof/>
        </w:rPr>
        <w:t xml:space="preserve">. </w:t>
      </w:r>
      <w:r w:rsidRPr="2397EF14">
        <w:rPr>
          <w:noProof/>
        </w:rPr>
        <w:t>Given the ongoing work on legislative reforms, there has been some progress on the recommendations made in the previous years.</w:t>
      </w:r>
    </w:p>
    <w:p w14:paraId="2340A264" w14:textId="297CF7FE" w:rsidR="0040534C" w:rsidRPr="00B614B7" w:rsidRDefault="0040534C" w:rsidP="0040534C">
      <w:pPr>
        <w:rPr>
          <w:noProof/>
          <w:lang w:eastAsia="fr-FR"/>
        </w:rPr>
      </w:pPr>
      <w:r>
        <w:rPr>
          <w:b/>
          <w:noProof/>
          <w:lang w:eastAsia="fr-FR"/>
        </w:rPr>
        <w:t>Legislative work</w:t>
      </w:r>
      <w:r w:rsidRPr="2397EF14">
        <w:rPr>
          <w:b/>
          <w:noProof/>
          <w:lang w:eastAsia="fr-FR"/>
        </w:rPr>
        <w:t xml:space="preserve"> </w:t>
      </w:r>
      <w:r w:rsidRPr="2397EF14">
        <w:rPr>
          <w:b/>
          <w:bCs/>
          <w:noProof/>
          <w:lang w:eastAsia="fr-FR"/>
        </w:rPr>
        <w:t>to strengthen</w:t>
      </w:r>
      <w:r w:rsidRPr="2397EF14">
        <w:rPr>
          <w:b/>
          <w:noProof/>
          <w:lang w:eastAsia="fr-FR"/>
        </w:rPr>
        <w:t xml:space="preserve"> the rules and mechanisms to enhance the independent governance of public service media</w:t>
      </w:r>
      <w:r>
        <w:rPr>
          <w:b/>
          <w:noProof/>
          <w:lang w:eastAsia="fr-FR"/>
        </w:rPr>
        <w:t xml:space="preserve"> is ongoing</w:t>
      </w:r>
      <w:r w:rsidRPr="2397EF14">
        <w:rPr>
          <w:rStyle w:val="FootnoteReference"/>
          <w:b/>
          <w:noProof/>
          <w:lang w:eastAsia="fr-FR"/>
        </w:rPr>
        <w:footnoteReference w:id="136"/>
      </w:r>
      <w:r w:rsidRPr="2397EF14">
        <w:rPr>
          <w:b/>
          <w:noProof/>
          <w:lang w:eastAsia="fr-FR"/>
        </w:rPr>
        <w:t>.</w:t>
      </w:r>
      <w:r w:rsidRPr="2397EF14">
        <w:rPr>
          <w:noProof/>
        </w:rPr>
        <w:t xml:space="preserve"> The authorities have confirmed that the draft law for the implementation of the EMFA will put in place safeguards for the appointment and dismissal procedures of </w:t>
      </w:r>
      <w:r w:rsidRPr="000E06C3">
        <w:rPr>
          <w:noProof/>
        </w:rPr>
        <w:t>the management and board members of the Cyprus Broadcasting Corporation (CyBC)</w:t>
      </w:r>
      <w:r w:rsidRPr="000E06C3">
        <w:rPr>
          <w:rStyle w:val="FootnoteReference"/>
          <w:noProof/>
        </w:rPr>
        <w:footnoteReference w:id="137"/>
      </w:r>
      <w:r w:rsidRPr="000E06C3">
        <w:rPr>
          <w:noProof/>
        </w:rPr>
        <w:t>. Once this law has been adopted, work on amendments to the Law on the Cyprus Broadcasting Corporation will continue with a view to modernise and align the legal framework governing the CyBC</w:t>
      </w:r>
      <w:r w:rsidRPr="000E06C3">
        <w:rPr>
          <w:rStyle w:val="FootnoteReference"/>
          <w:noProof/>
        </w:rPr>
        <w:footnoteReference w:id="138"/>
      </w:r>
      <w:r w:rsidRPr="000E06C3">
        <w:rPr>
          <w:noProof/>
          <w:lang w:val="en-US"/>
        </w:rPr>
        <w:t xml:space="preserve">. </w:t>
      </w:r>
      <w:r w:rsidRPr="000E06C3">
        <w:rPr>
          <w:noProof/>
        </w:rPr>
        <w:t xml:space="preserve">The CyBC has confirmed that </w:t>
      </w:r>
      <w:r w:rsidRPr="000E06C3">
        <w:rPr>
          <w:noProof/>
          <w:lang w:val="en-US"/>
        </w:rPr>
        <w:t>this law will ensure a clear separation of the roles of the Board of Directors and the General Management and remove provisions concerning the mandatory presentation of political parties and figures</w:t>
      </w:r>
      <w:r w:rsidRPr="000E06C3">
        <w:rPr>
          <w:rStyle w:val="FootnoteReference"/>
          <w:noProof/>
          <w:lang w:val="en-US"/>
        </w:rPr>
        <w:footnoteReference w:id="139"/>
      </w:r>
      <w:r w:rsidRPr="000E06C3">
        <w:rPr>
          <w:noProof/>
          <w:lang w:val="en-US"/>
        </w:rPr>
        <w:t xml:space="preserve">. </w:t>
      </w:r>
      <w:r w:rsidRPr="000E06C3">
        <w:rPr>
          <w:noProof/>
        </w:rPr>
        <w:t>In the meantime, stakeholders raise concerns about political interference in the CyBC, whose governing board is elected by the Council of Ministers</w:t>
      </w:r>
      <w:r w:rsidR="00A83B7A">
        <w:rPr>
          <w:noProof/>
        </w:rPr>
        <w:t xml:space="preserve"> </w:t>
      </w:r>
      <w:r w:rsidR="00A83B7A" w:rsidRPr="00E75534">
        <w:rPr>
          <w:noProof/>
          <w:szCs w:val="24"/>
        </w:rPr>
        <w:t xml:space="preserve">following a public call of interest </w:t>
      </w:r>
      <w:r w:rsidR="000D72DB" w:rsidRPr="000D72DB">
        <w:rPr>
          <w:noProof/>
          <w:szCs w:val="24"/>
        </w:rPr>
        <w:t>and after having notified the House of Parliament of the suggested board members</w:t>
      </w:r>
      <w:r w:rsidRPr="000E06C3">
        <w:rPr>
          <w:rStyle w:val="FootnoteReference"/>
          <w:noProof/>
        </w:rPr>
        <w:footnoteReference w:id="140"/>
      </w:r>
      <w:r w:rsidRPr="000E06C3">
        <w:rPr>
          <w:noProof/>
        </w:rPr>
        <w:t xml:space="preserve">. In view of these concerns, the Media Pluralism Monitor continues to rank this </w:t>
      </w:r>
      <w:r w:rsidRPr="00B614B7">
        <w:rPr>
          <w:noProof/>
        </w:rPr>
        <w:t>area as medium-high risk</w:t>
      </w:r>
      <w:r w:rsidRPr="00B614B7">
        <w:rPr>
          <w:rStyle w:val="FootnoteReference"/>
          <w:noProof/>
        </w:rPr>
        <w:footnoteReference w:id="141"/>
      </w:r>
      <w:r w:rsidRPr="00B614B7">
        <w:rPr>
          <w:noProof/>
        </w:rPr>
        <w:t>. Given the ongoing work on legislative reforms, there has</w:t>
      </w:r>
      <w:r w:rsidRPr="00B614B7">
        <w:rPr>
          <w:noProof/>
          <w:lang w:val="en-US"/>
        </w:rPr>
        <w:t xml:space="preserve"> been some progress on the recommendations made in the previous reports.</w:t>
      </w:r>
    </w:p>
    <w:p w14:paraId="01A2A4C8" w14:textId="3E2441B5" w:rsidR="0040534C" w:rsidRPr="00B614B7" w:rsidRDefault="0040534C" w:rsidP="0040534C">
      <w:pPr>
        <w:rPr>
          <w:noProof/>
          <w:lang w:val="en-US"/>
        </w:rPr>
      </w:pPr>
      <w:r w:rsidRPr="00B614B7">
        <w:rPr>
          <w:b/>
          <w:noProof/>
          <w:lang w:val="en-US"/>
        </w:rPr>
        <w:t xml:space="preserve">The Office of the Information Commissioner continues to raise awareness on the law regulating </w:t>
      </w:r>
      <w:r w:rsidRPr="00B614B7">
        <w:rPr>
          <w:b/>
          <w:noProof/>
        </w:rPr>
        <w:t xml:space="preserve">public access to </w:t>
      </w:r>
      <w:r w:rsidRPr="00B614B7">
        <w:rPr>
          <w:b/>
          <w:bCs/>
          <w:noProof/>
        </w:rPr>
        <w:t>information</w:t>
      </w:r>
      <w:r w:rsidRPr="00B614B7">
        <w:rPr>
          <w:b/>
          <w:noProof/>
          <w:lang w:val="en-US"/>
        </w:rPr>
        <w:t xml:space="preserve">, while further measures are needed to </w:t>
      </w:r>
      <w:r w:rsidRPr="00B614B7">
        <w:rPr>
          <w:b/>
          <w:noProof/>
        </w:rPr>
        <w:t>improve it</w:t>
      </w:r>
      <w:r w:rsidRPr="00B614B7">
        <w:rPr>
          <w:b/>
          <w:bCs/>
          <w:noProof/>
          <w:lang w:val="en-US"/>
        </w:rPr>
        <w:t>.</w:t>
      </w:r>
      <w:r w:rsidRPr="00B614B7">
        <w:rPr>
          <w:noProof/>
          <w:lang w:val="en-US"/>
        </w:rPr>
        <w:t xml:space="preserve"> The Office of the Information Commissioner, which operates with limited resources, continues its awareness raising efforts with a campaign planned for the first quarter of 2026</w:t>
      </w:r>
      <w:r w:rsidRPr="00B614B7">
        <w:rPr>
          <w:rStyle w:val="FootnoteReference"/>
          <w:noProof/>
          <w:lang w:val="en-US"/>
        </w:rPr>
        <w:footnoteReference w:id="142"/>
      </w:r>
      <w:r w:rsidRPr="00B614B7">
        <w:rPr>
          <w:i/>
          <w:noProof/>
          <w:lang w:val="en-US"/>
        </w:rPr>
        <w:t>.</w:t>
      </w:r>
      <w:r w:rsidRPr="00B614B7">
        <w:rPr>
          <w:noProof/>
          <w:lang w:val="en-US"/>
        </w:rPr>
        <w:t xml:space="preserve"> An independent study commissioned by the Government identified gaps</w:t>
      </w:r>
      <w:r w:rsidRPr="00B614B7" w:rsidDel="003D2DE4">
        <w:rPr>
          <w:noProof/>
          <w:lang w:val="en-US"/>
        </w:rPr>
        <w:t xml:space="preserve"> </w:t>
      </w:r>
      <w:r w:rsidRPr="00B614B7">
        <w:rPr>
          <w:noProof/>
          <w:lang w:val="en-US"/>
        </w:rPr>
        <w:t xml:space="preserve">in the scope of the </w:t>
      </w:r>
      <w:r w:rsidRPr="00B614B7">
        <w:rPr>
          <w:noProof/>
        </w:rPr>
        <w:t>law on public access to information</w:t>
      </w:r>
      <w:r w:rsidRPr="00B614B7">
        <w:rPr>
          <w:rStyle w:val="FootnoteReference"/>
          <w:noProof/>
        </w:rPr>
        <w:footnoteReference w:id="143"/>
      </w:r>
      <w:r w:rsidRPr="00B614B7">
        <w:rPr>
          <w:noProof/>
        </w:rPr>
        <w:t>, including the definition of the term public authority and the lack of independent review of the Commissioner’s decisions</w:t>
      </w:r>
      <w:r w:rsidRPr="00B614B7">
        <w:rPr>
          <w:rStyle w:val="FootnoteReference"/>
          <w:noProof/>
          <w:lang w:val="en-US"/>
        </w:rPr>
        <w:footnoteReference w:id="144"/>
      </w:r>
      <w:r w:rsidRPr="00B614B7">
        <w:rPr>
          <w:noProof/>
        </w:rPr>
        <w:t xml:space="preserve">. </w:t>
      </w:r>
      <w:r w:rsidRPr="00B614B7">
        <w:rPr>
          <w:noProof/>
          <w:lang w:val="en-US"/>
        </w:rPr>
        <w:t>The</w:t>
      </w:r>
      <w:r w:rsidRPr="00B614B7" w:rsidDel="00B94B9D">
        <w:rPr>
          <w:noProof/>
          <w:lang w:val="en-US"/>
        </w:rPr>
        <w:t xml:space="preserve"> </w:t>
      </w:r>
      <w:r w:rsidRPr="00B614B7">
        <w:rPr>
          <w:noProof/>
          <w:lang w:val="en-US"/>
        </w:rPr>
        <w:t>Commissioner considers that the legal framework applies clearly to any ministry, department, office, service, or authority of the public sector, including</w:t>
      </w:r>
      <w:r w:rsidRPr="00B614B7">
        <w:rPr>
          <w:i/>
          <w:noProof/>
          <w:lang w:val="en-US"/>
        </w:rPr>
        <w:t xml:space="preserve"> </w:t>
      </w:r>
      <w:r w:rsidRPr="00B614B7">
        <w:rPr>
          <w:noProof/>
          <w:lang w:val="en-US"/>
        </w:rPr>
        <w:t>the Presidency, the National Guard, and the Police, while her decisions are ultimately subject to judicial review by the Administrative Court</w:t>
      </w:r>
      <w:r w:rsidRPr="00B614B7">
        <w:rPr>
          <w:rStyle w:val="FootnoteReference"/>
          <w:noProof/>
          <w:lang w:val="en-US"/>
        </w:rPr>
        <w:footnoteReference w:id="145"/>
      </w:r>
      <w:r w:rsidRPr="00B614B7">
        <w:rPr>
          <w:noProof/>
          <w:lang w:val="en-US"/>
        </w:rPr>
        <w:t xml:space="preserve">. </w:t>
      </w:r>
      <w:r w:rsidRPr="00B614B7">
        <w:rPr>
          <w:noProof/>
        </w:rPr>
        <w:t>The Government is now considering further measures, as also urged by GRECO</w:t>
      </w:r>
      <w:r w:rsidRPr="00B614B7">
        <w:rPr>
          <w:rStyle w:val="FootnoteReference"/>
          <w:noProof/>
        </w:rPr>
        <w:footnoteReference w:id="146"/>
      </w:r>
      <w:r w:rsidR="00163BE6">
        <w:rPr>
          <w:noProof/>
        </w:rPr>
        <w:t xml:space="preserve">, </w:t>
      </w:r>
      <w:r w:rsidR="00163BE6">
        <w:rPr>
          <w:noProof/>
          <w:lang w:val="en-US"/>
        </w:rPr>
        <w:t xml:space="preserve">including </w:t>
      </w:r>
      <w:r w:rsidR="00040019">
        <w:rPr>
          <w:noProof/>
          <w:lang w:val="en-US"/>
        </w:rPr>
        <w:t>the amendment of</w:t>
      </w:r>
      <w:r w:rsidR="00163BE6" w:rsidRPr="001F2AEE">
        <w:rPr>
          <w:noProof/>
          <w:lang w:val="en-US"/>
        </w:rPr>
        <w:t xml:space="preserve"> Law 184(I)/2017 </w:t>
      </w:r>
      <w:r w:rsidR="00A77B79">
        <w:rPr>
          <w:noProof/>
          <w:lang w:val="en-US"/>
        </w:rPr>
        <w:t>and the organi</w:t>
      </w:r>
      <w:r w:rsidR="00B80763">
        <w:rPr>
          <w:noProof/>
          <w:lang w:val="en-US"/>
        </w:rPr>
        <w:t>s</w:t>
      </w:r>
      <w:r w:rsidR="00A77B79">
        <w:rPr>
          <w:noProof/>
          <w:lang w:val="en-US"/>
        </w:rPr>
        <w:t>ation of</w:t>
      </w:r>
      <w:r w:rsidR="00163BE6" w:rsidRPr="001F2AEE">
        <w:rPr>
          <w:noProof/>
          <w:lang w:val="en-US"/>
        </w:rPr>
        <w:t xml:space="preserve"> training seminars </w:t>
      </w:r>
      <w:r w:rsidR="00A77B79">
        <w:rPr>
          <w:noProof/>
          <w:lang w:val="en-US"/>
        </w:rPr>
        <w:t>for</w:t>
      </w:r>
      <w:r w:rsidR="00163BE6" w:rsidRPr="001F2AEE">
        <w:rPr>
          <w:noProof/>
          <w:lang w:val="en-US"/>
        </w:rPr>
        <w:t xml:space="preserve"> public </w:t>
      </w:r>
      <w:r w:rsidR="00A77B79">
        <w:rPr>
          <w:noProof/>
          <w:lang w:val="en-US"/>
        </w:rPr>
        <w:t>officials</w:t>
      </w:r>
      <w:r w:rsidR="005440F6">
        <w:rPr>
          <w:rStyle w:val="FootnoteReference"/>
          <w:noProof/>
          <w:lang w:val="en-US"/>
        </w:rPr>
        <w:footnoteReference w:id="147"/>
      </w:r>
      <w:r w:rsidRPr="001F2AEE" w:rsidDel="00163BE6">
        <w:rPr>
          <w:noProof/>
          <w:lang w:val="en-US"/>
        </w:rPr>
        <w:t>.</w:t>
      </w:r>
      <w:r w:rsidRPr="00B614B7">
        <w:rPr>
          <w:noProof/>
        </w:rPr>
        <w:t xml:space="preserve"> Stakeholders note </w:t>
      </w:r>
      <w:r w:rsidRPr="00B614B7">
        <w:rPr>
          <w:noProof/>
          <w:lang w:val="en-US"/>
        </w:rPr>
        <w:t xml:space="preserve">that inconsistencies remain in the application of the Law and that there is a need for </w:t>
      </w:r>
      <w:r w:rsidRPr="00B614B7">
        <w:rPr>
          <w:noProof/>
        </w:rPr>
        <w:t>standardised</w:t>
      </w:r>
      <w:r w:rsidRPr="00B614B7">
        <w:rPr>
          <w:noProof/>
          <w:lang w:val="en-US"/>
        </w:rPr>
        <w:t xml:space="preserve"> training for public officials on access to information and more effective enforcement of compliance</w:t>
      </w:r>
      <w:r w:rsidRPr="00B614B7">
        <w:rPr>
          <w:rStyle w:val="FootnoteReference"/>
          <w:noProof/>
          <w:lang w:val="en-US"/>
        </w:rPr>
        <w:footnoteReference w:id="148"/>
      </w:r>
      <w:r w:rsidRPr="00B614B7">
        <w:rPr>
          <w:noProof/>
          <w:lang w:val="en-US"/>
        </w:rPr>
        <w:t>. In view of th</w:t>
      </w:r>
      <w:r>
        <w:rPr>
          <w:noProof/>
          <w:lang w:val="en-US"/>
        </w:rPr>
        <w:t>is</w:t>
      </w:r>
      <w:r w:rsidRPr="00B614B7">
        <w:rPr>
          <w:noProof/>
          <w:lang w:val="en-US"/>
        </w:rPr>
        <w:t>, the Media Pluralism Monitor maintains its risk analysis for this area as medium-high</w:t>
      </w:r>
      <w:r w:rsidRPr="00B614B7">
        <w:rPr>
          <w:rStyle w:val="FootnoteReference"/>
          <w:noProof/>
          <w:lang w:val="en-US"/>
        </w:rPr>
        <w:footnoteReference w:id="149"/>
      </w:r>
      <w:r w:rsidRPr="00B614B7">
        <w:rPr>
          <w:noProof/>
          <w:lang w:val="en-US"/>
        </w:rPr>
        <w:t xml:space="preserve">. </w:t>
      </w:r>
    </w:p>
    <w:p w14:paraId="579846F3" w14:textId="77777777" w:rsidR="0040534C" w:rsidRPr="000E06C3" w:rsidRDefault="0040534C" w:rsidP="0040534C">
      <w:pPr>
        <w:rPr>
          <w:b/>
          <w:bCs/>
          <w:noProof/>
        </w:rPr>
      </w:pPr>
      <w:r w:rsidRPr="00B614B7">
        <w:rPr>
          <w:b/>
          <w:bCs/>
          <w:noProof/>
        </w:rPr>
        <w:t>The overall situation as regards the safety of journalists remains stable, however they continue to experience precarious working conditions.</w:t>
      </w:r>
      <w:r w:rsidRPr="00B614B7">
        <w:rPr>
          <w:b/>
          <w:bCs/>
          <w:noProof/>
          <w:szCs w:val="24"/>
          <w:lang w:val="en-US"/>
        </w:rPr>
        <w:t xml:space="preserve"> </w:t>
      </w:r>
      <w:r w:rsidRPr="00B614B7">
        <w:rPr>
          <w:noProof/>
          <w:szCs w:val="24"/>
          <w:lang w:val="en-US"/>
        </w:rPr>
        <w:t>Parliament adopted an anti-SLAPP law in March 2026, which entered into force in May 2026</w:t>
      </w:r>
      <w:r w:rsidRPr="00B614B7">
        <w:rPr>
          <w:rStyle w:val="FootnoteReference"/>
          <w:noProof/>
          <w:szCs w:val="24"/>
          <w:lang w:val="en-US"/>
        </w:rPr>
        <w:footnoteReference w:id="150"/>
      </w:r>
      <w:r w:rsidRPr="00B614B7">
        <w:rPr>
          <w:noProof/>
          <w:szCs w:val="24"/>
          <w:lang w:val="en-US"/>
        </w:rPr>
        <w:t>. This law applies to both domestic and cross-border cases and requires the plaintiffs to prove the legal basis of their claim. Stakeholders have reported SLAPP cases against journalists, with lengthy legal proceedings and backlogs in court cases being regarded as eroding trust in how the justice system can handle SLAPP and as encouraging self-censorship</w:t>
      </w:r>
      <w:r w:rsidRPr="00B614B7">
        <w:rPr>
          <w:rStyle w:val="FootnoteReference"/>
          <w:noProof/>
          <w:szCs w:val="24"/>
          <w:lang w:val="en-US"/>
        </w:rPr>
        <w:footnoteReference w:id="151"/>
      </w:r>
      <w:r w:rsidRPr="00B614B7">
        <w:rPr>
          <w:noProof/>
          <w:szCs w:val="24"/>
          <w:lang w:val="en-US"/>
        </w:rPr>
        <w:t xml:space="preserve">. </w:t>
      </w:r>
      <w:r w:rsidRPr="00B614B7">
        <w:rPr>
          <w:noProof/>
          <w:szCs w:val="24"/>
        </w:rPr>
        <w:t>The Council of Europe Safety of Journalists Platform recorded one new alert for an attack on physical safety and integrity since the publication of the 2025 Rule of Law</w:t>
      </w:r>
      <w:r w:rsidRPr="00702DBE">
        <w:rPr>
          <w:noProof/>
          <w:szCs w:val="24"/>
        </w:rPr>
        <w:t xml:space="preserve"> Report</w:t>
      </w:r>
      <w:r w:rsidRPr="00702DBE">
        <w:rPr>
          <w:rStyle w:val="FootnoteReference"/>
          <w:noProof/>
          <w:szCs w:val="24"/>
        </w:rPr>
        <w:t xml:space="preserve"> </w:t>
      </w:r>
      <w:r w:rsidRPr="00702DBE">
        <w:rPr>
          <w:rStyle w:val="FootnoteReference"/>
          <w:noProof/>
          <w:szCs w:val="24"/>
        </w:rPr>
        <w:footnoteReference w:id="152"/>
      </w:r>
      <w:r w:rsidRPr="00702DBE">
        <w:rPr>
          <w:noProof/>
          <w:szCs w:val="24"/>
        </w:rPr>
        <w:t>.</w:t>
      </w:r>
      <w:r>
        <w:rPr>
          <w:noProof/>
          <w:szCs w:val="24"/>
        </w:rPr>
        <w:t xml:space="preserve"> </w:t>
      </w:r>
      <w:r w:rsidRPr="00702DBE">
        <w:rPr>
          <w:noProof/>
          <w:szCs w:val="24"/>
        </w:rPr>
        <w:t xml:space="preserve">In the same period, </w:t>
      </w:r>
      <w:r>
        <w:rPr>
          <w:noProof/>
          <w:szCs w:val="24"/>
          <w:lang w:val="en-US"/>
        </w:rPr>
        <w:t>two</w:t>
      </w:r>
      <w:r w:rsidRPr="00702DBE">
        <w:rPr>
          <w:noProof/>
          <w:szCs w:val="24"/>
          <w:lang w:val="en-US"/>
        </w:rPr>
        <w:t xml:space="preserve"> new alerts were registered by the </w:t>
      </w:r>
      <w:r w:rsidRPr="00702DBE">
        <w:rPr>
          <w:noProof/>
          <w:szCs w:val="24"/>
        </w:rPr>
        <w:t>Media Freedom Rapid Response Mechanism, consisting of denied access to information</w:t>
      </w:r>
      <w:r>
        <w:rPr>
          <w:noProof/>
          <w:szCs w:val="24"/>
        </w:rPr>
        <w:t xml:space="preserve"> and</w:t>
      </w:r>
      <w:r w:rsidRPr="00702DBE">
        <w:rPr>
          <w:noProof/>
          <w:szCs w:val="24"/>
        </w:rPr>
        <w:t xml:space="preserve"> physical assault</w:t>
      </w:r>
      <w:r w:rsidRPr="00702DBE">
        <w:rPr>
          <w:rStyle w:val="FootnoteReference"/>
          <w:noProof/>
          <w:szCs w:val="24"/>
        </w:rPr>
        <w:footnoteReference w:id="153"/>
      </w:r>
      <w:r w:rsidRPr="00702DBE">
        <w:rPr>
          <w:noProof/>
          <w:szCs w:val="24"/>
        </w:rPr>
        <w:t xml:space="preserve">. </w:t>
      </w:r>
      <w:r w:rsidRPr="000E06C3">
        <w:rPr>
          <w:noProof/>
          <w:szCs w:val="24"/>
        </w:rPr>
        <w:t xml:space="preserve">Stakeholders report that </w:t>
      </w:r>
      <w:r w:rsidRPr="000E06C3">
        <w:rPr>
          <w:noProof/>
          <w:szCs w:val="24"/>
          <w:lang w:val="en-US"/>
        </w:rPr>
        <w:t>high workload, low salaries, and a lack of resources continue to negatively impact the working conditions of journalists and the quality of journalism</w:t>
      </w:r>
      <w:r w:rsidRPr="000E06C3">
        <w:rPr>
          <w:rStyle w:val="FootnoteReference"/>
          <w:noProof/>
          <w:szCs w:val="24"/>
          <w:lang w:val="en-US"/>
        </w:rPr>
        <w:footnoteReference w:id="154"/>
      </w:r>
      <w:r w:rsidRPr="000E06C3">
        <w:rPr>
          <w:noProof/>
          <w:szCs w:val="24"/>
          <w:lang w:val="en-US"/>
        </w:rPr>
        <w:t xml:space="preserve">. According to a survey conducted by the </w:t>
      </w:r>
      <w:r w:rsidRPr="000E06C3">
        <w:rPr>
          <w:noProof/>
          <w:szCs w:val="24"/>
        </w:rPr>
        <w:t xml:space="preserve">UCJ in July-August 2025, journalists consider understaffing and sustainability of media SMEs as the most </w:t>
      </w:r>
      <w:r w:rsidRPr="000E06C3">
        <w:rPr>
          <w:noProof/>
          <w:szCs w:val="24"/>
          <w:lang w:val="en-US"/>
        </w:rPr>
        <w:t>serious problems facing the profession. In the same survey, 69% of journalists stated that they have been pressured about the content of their work at least a few times</w:t>
      </w:r>
      <w:r w:rsidRPr="000E06C3">
        <w:rPr>
          <w:rStyle w:val="FootnoteReference"/>
          <w:noProof/>
          <w:szCs w:val="24"/>
        </w:rPr>
        <w:footnoteReference w:id="155"/>
      </w:r>
      <w:r w:rsidRPr="000E06C3">
        <w:rPr>
          <w:noProof/>
        </w:rPr>
        <w:t>. In view of these factors, the Media Pluralism Monitor has increased its risk level for this area to medium-low</w:t>
      </w:r>
      <w:r w:rsidRPr="000E06C3">
        <w:rPr>
          <w:rStyle w:val="FootnoteReference"/>
          <w:noProof/>
        </w:rPr>
        <w:footnoteReference w:id="156"/>
      </w:r>
      <w:r w:rsidRPr="000E06C3">
        <w:rPr>
          <w:noProof/>
        </w:rPr>
        <w:t>.</w:t>
      </w:r>
    </w:p>
    <w:p w14:paraId="07E6BE42" w14:textId="77777777" w:rsidR="0040534C" w:rsidRPr="00E87A0D" w:rsidRDefault="0040534C" w:rsidP="00C2404F">
      <w:pPr>
        <w:pStyle w:val="Heading1"/>
        <w:numPr>
          <w:ilvl w:val="0"/>
          <w:numId w:val="34"/>
        </w:numPr>
        <w:spacing w:before="0"/>
        <w:rPr>
          <w:noProof/>
          <w:u w:val="single"/>
        </w:rPr>
      </w:pPr>
      <w:r w:rsidRPr="00E87A0D">
        <w:rPr>
          <w:noProof/>
          <w:u w:val="single"/>
        </w:rPr>
        <w:t>Other Institutional Issues related to Checks and Balances</w:t>
      </w:r>
    </w:p>
    <w:p w14:paraId="3A1DB116" w14:textId="72DA6AB8" w:rsidR="0040534C" w:rsidRPr="004437E3" w:rsidRDefault="0040534C" w:rsidP="0040534C">
      <w:pPr>
        <w:rPr>
          <w:noProof/>
          <w:lang w:val="en-IE" w:eastAsia="fr-FR"/>
        </w:rPr>
      </w:pPr>
      <w:r>
        <w:rPr>
          <w:b/>
          <w:noProof/>
          <w:lang w:eastAsia="fr-FR"/>
        </w:rPr>
        <w:t xml:space="preserve">Substantial </w:t>
      </w:r>
      <w:r w:rsidRPr="00396960">
        <w:rPr>
          <w:b/>
          <w:noProof/>
          <w:lang w:eastAsia="fr-FR"/>
        </w:rPr>
        <w:t xml:space="preserve">steps have been taken to enhance public participation in decision-making. </w:t>
      </w:r>
      <w:r>
        <w:rPr>
          <w:bCs/>
          <w:noProof/>
          <w:lang w:eastAsia="fr-FR"/>
        </w:rPr>
        <w:t>In April 2026, Parliament adopted the</w:t>
      </w:r>
      <w:r w:rsidRPr="00867F1C">
        <w:rPr>
          <w:noProof/>
          <w:lang w:eastAsia="fr-FR"/>
        </w:rPr>
        <w:t xml:space="preserve"> </w:t>
      </w:r>
      <w:r w:rsidRPr="00396960">
        <w:rPr>
          <w:noProof/>
          <w:lang w:eastAsia="fr-FR"/>
        </w:rPr>
        <w:t xml:space="preserve">Citizens’ Legislative Initiative, </w:t>
      </w:r>
      <w:r>
        <w:rPr>
          <w:noProof/>
          <w:lang w:eastAsia="fr-FR"/>
        </w:rPr>
        <w:t>empowering</w:t>
      </w:r>
      <w:r w:rsidRPr="00396960">
        <w:rPr>
          <w:noProof/>
          <w:lang w:eastAsia="fr-FR"/>
        </w:rPr>
        <w:t xml:space="preserve"> citizens to propose policies</w:t>
      </w:r>
      <w:r>
        <w:rPr>
          <w:noProof/>
          <w:lang w:eastAsia="fr-FR"/>
        </w:rPr>
        <w:t xml:space="preserve"> through</w:t>
      </w:r>
      <w:r w:rsidRPr="00396960">
        <w:rPr>
          <w:noProof/>
          <w:lang w:eastAsia="fr-FR"/>
        </w:rPr>
        <w:t xml:space="preserve"> </w:t>
      </w:r>
      <w:r>
        <w:rPr>
          <w:noProof/>
          <w:lang w:val="en-IE" w:eastAsia="fr-FR"/>
        </w:rPr>
        <w:t>a formal mechanism for d</w:t>
      </w:r>
      <w:r w:rsidRPr="009D2B7B">
        <w:rPr>
          <w:noProof/>
          <w:lang w:val="en-IE" w:eastAsia="fr-FR"/>
        </w:rPr>
        <w:t>irect public involvement in policymaking</w:t>
      </w:r>
      <w:r w:rsidRPr="00396960">
        <w:rPr>
          <w:rStyle w:val="FootnoteReference"/>
          <w:noProof/>
          <w:lang w:eastAsia="fr-FR"/>
        </w:rPr>
        <w:footnoteReference w:id="157"/>
      </w:r>
      <w:r>
        <w:rPr>
          <w:noProof/>
          <w:lang w:eastAsia="fr-FR"/>
        </w:rPr>
        <w:t xml:space="preserve">. </w:t>
      </w:r>
      <w:r w:rsidRPr="00396960">
        <w:rPr>
          <w:bCs/>
          <w:noProof/>
          <w:lang w:eastAsia="fr-FR"/>
        </w:rPr>
        <w:t>A systematic approach to electronic consultations is now in place, supported by training for officials and media campaigns to raise awareness</w:t>
      </w:r>
      <w:r w:rsidRPr="00396960">
        <w:rPr>
          <w:rStyle w:val="FootnoteReference"/>
          <w:bCs/>
          <w:noProof/>
          <w:lang w:eastAsia="fr-FR"/>
        </w:rPr>
        <w:footnoteReference w:id="158"/>
      </w:r>
      <w:r w:rsidRPr="00396960">
        <w:rPr>
          <w:bCs/>
          <w:noProof/>
          <w:lang w:eastAsia="fr-FR"/>
        </w:rPr>
        <w:t>. Usage data demonstrates a steady increase in platform use</w:t>
      </w:r>
      <w:r w:rsidRPr="00396960">
        <w:rPr>
          <w:rStyle w:val="FootnoteReference"/>
          <w:bCs/>
          <w:noProof/>
          <w:lang w:eastAsia="fr-FR"/>
        </w:rPr>
        <w:footnoteReference w:id="159"/>
      </w:r>
      <w:r w:rsidRPr="00396960">
        <w:rPr>
          <w:bCs/>
          <w:noProof/>
          <w:lang w:eastAsia="fr-FR"/>
        </w:rPr>
        <w:t xml:space="preserve">. </w:t>
      </w:r>
      <w:r>
        <w:rPr>
          <w:bCs/>
          <w:noProof/>
          <w:lang w:eastAsia="fr-FR"/>
        </w:rPr>
        <w:t xml:space="preserve">However, the authorities’ </w:t>
      </w:r>
      <w:r w:rsidRPr="00396960">
        <w:rPr>
          <w:bCs/>
          <w:noProof/>
          <w:lang w:eastAsia="fr-FR"/>
        </w:rPr>
        <w:t xml:space="preserve">responses to consultation </w:t>
      </w:r>
      <w:r>
        <w:rPr>
          <w:bCs/>
          <w:noProof/>
          <w:lang w:eastAsia="fr-FR"/>
        </w:rPr>
        <w:t xml:space="preserve">comments </w:t>
      </w:r>
      <w:r w:rsidRPr="00396960">
        <w:rPr>
          <w:bCs/>
          <w:noProof/>
          <w:lang w:eastAsia="fr-FR"/>
        </w:rPr>
        <w:t>are not published in a systematic and timely manner</w:t>
      </w:r>
      <w:r w:rsidRPr="00396960">
        <w:rPr>
          <w:rStyle w:val="FootnoteReference"/>
          <w:bCs/>
          <w:noProof/>
          <w:lang w:eastAsia="fr-FR"/>
        </w:rPr>
        <w:footnoteReference w:id="160"/>
      </w:r>
      <w:r w:rsidRPr="00396960">
        <w:rPr>
          <w:bCs/>
          <w:noProof/>
          <w:lang w:eastAsia="fr-FR"/>
        </w:rPr>
        <w:t>, which is perceived by civil society as a lack of transparency and acknowledgement of their input</w:t>
      </w:r>
      <w:r w:rsidRPr="00396960">
        <w:rPr>
          <w:rStyle w:val="FootnoteReference"/>
          <w:bCs/>
          <w:noProof/>
          <w:lang w:eastAsia="fr-FR"/>
        </w:rPr>
        <w:footnoteReference w:id="161"/>
      </w:r>
      <w:r w:rsidRPr="00396960">
        <w:rPr>
          <w:bCs/>
          <w:noProof/>
          <w:lang w:eastAsia="fr-FR"/>
        </w:rPr>
        <w:t xml:space="preserve">. </w:t>
      </w:r>
      <w:r w:rsidRPr="00396960">
        <w:rPr>
          <w:noProof/>
          <w:lang w:eastAsia="fr-FR"/>
        </w:rPr>
        <w:t>T</w:t>
      </w:r>
      <w:r>
        <w:rPr>
          <w:noProof/>
          <w:lang w:val="en-IE" w:eastAsia="fr-FR"/>
        </w:rPr>
        <w:t xml:space="preserve">he </w:t>
      </w:r>
      <w:r w:rsidRPr="00396960">
        <w:rPr>
          <w:bCs/>
          <w:noProof/>
          <w:lang w:eastAsia="fr-FR"/>
        </w:rPr>
        <w:t>bill to make public consultation compulsory by law</w:t>
      </w:r>
      <w:r w:rsidRPr="00760ECA">
        <w:rPr>
          <w:noProof/>
          <w:lang w:eastAsia="fr-FR"/>
        </w:rPr>
        <w:t xml:space="preserve"> </w:t>
      </w:r>
      <w:r>
        <w:rPr>
          <w:noProof/>
          <w:lang w:eastAsia="fr-FR"/>
        </w:rPr>
        <w:t>remains pending in</w:t>
      </w:r>
      <w:r w:rsidRPr="00396960">
        <w:rPr>
          <w:bCs/>
          <w:noProof/>
          <w:lang w:eastAsia="fr-FR"/>
        </w:rPr>
        <w:t xml:space="preserve"> Parliament</w:t>
      </w:r>
      <w:r w:rsidRPr="00396960">
        <w:rPr>
          <w:rStyle w:val="FootnoteReference"/>
          <w:bCs/>
          <w:noProof/>
          <w:lang w:eastAsia="fr-FR"/>
        </w:rPr>
        <w:footnoteReference w:id="162"/>
      </w:r>
      <w:r w:rsidRPr="00396960">
        <w:rPr>
          <w:noProof/>
          <w:lang w:eastAsia="fr-FR"/>
        </w:rPr>
        <w:t xml:space="preserve">. </w:t>
      </w:r>
      <w:r>
        <w:rPr>
          <w:noProof/>
          <w:lang w:eastAsia="fr-FR"/>
        </w:rPr>
        <w:t xml:space="preserve">Parliament modified its rules </w:t>
      </w:r>
      <w:r w:rsidR="006F4294">
        <w:rPr>
          <w:noProof/>
          <w:lang w:eastAsia="fr-FR"/>
        </w:rPr>
        <w:t xml:space="preserve">of procedure </w:t>
      </w:r>
      <w:r>
        <w:rPr>
          <w:noProof/>
          <w:lang w:eastAsia="fr-FR"/>
        </w:rPr>
        <w:t xml:space="preserve">to allow the </w:t>
      </w:r>
      <w:r w:rsidRPr="00396960">
        <w:rPr>
          <w:noProof/>
          <w:lang w:eastAsia="fr-FR"/>
        </w:rPr>
        <w:t xml:space="preserve">live-streaming </w:t>
      </w:r>
      <w:r>
        <w:rPr>
          <w:noProof/>
          <w:lang w:eastAsia="fr-FR"/>
        </w:rPr>
        <w:t xml:space="preserve">of </w:t>
      </w:r>
      <w:r w:rsidRPr="00396960">
        <w:rPr>
          <w:noProof/>
          <w:lang w:eastAsia="fr-FR"/>
        </w:rPr>
        <w:t>committee sessions</w:t>
      </w:r>
      <w:r>
        <w:rPr>
          <w:noProof/>
          <w:lang w:eastAsia="fr-FR"/>
        </w:rPr>
        <w:t xml:space="preserve">, </w:t>
      </w:r>
      <w:r w:rsidR="006F4294" w:rsidRPr="006F4294">
        <w:rPr>
          <w:noProof/>
          <w:lang w:eastAsia="fr-FR"/>
        </w:rPr>
        <w:t xml:space="preserve">subject to certain conditions and the nature of the matter </w:t>
      </w:r>
      <w:r w:rsidR="006A22BB">
        <w:rPr>
          <w:noProof/>
          <w:lang w:eastAsia="fr-FR"/>
        </w:rPr>
        <w:t>under discussion</w:t>
      </w:r>
      <w:r w:rsidR="006F4294">
        <w:rPr>
          <w:noProof/>
          <w:lang w:eastAsia="fr-FR"/>
        </w:rPr>
        <w:t xml:space="preserve">, </w:t>
      </w:r>
      <w:r>
        <w:rPr>
          <w:noProof/>
          <w:lang w:eastAsia="fr-FR"/>
        </w:rPr>
        <w:t>fulfilling a long-standing request from civil society</w:t>
      </w:r>
      <w:r w:rsidRPr="00396960">
        <w:rPr>
          <w:noProof/>
          <w:lang w:eastAsia="fr-FR"/>
        </w:rPr>
        <w:t xml:space="preserve"> </w:t>
      </w:r>
      <w:r>
        <w:rPr>
          <w:noProof/>
          <w:lang w:eastAsia="fr-FR"/>
        </w:rPr>
        <w:t xml:space="preserve">and ensuring </w:t>
      </w:r>
      <w:r w:rsidRPr="00396960">
        <w:rPr>
          <w:noProof/>
          <w:lang w:eastAsia="fr-FR"/>
        </w:rPr>
        <w:t xml:space="preserve">greater </w:t>
      </w:r>
      <w:r>
        <w:rPr>
          <w:noProof/>
          <w:lang w:eastAsia="fr-FR"/>
        </w:rPr>
        <w:t>transparency</w:t>
      </w:r>
      <w:r w:rsidRPr="00396960">
        <w:rPr>
          <w:noProof/>
          <w:lang w:eastAsia="fr-FR"/>
        </w:rPr>
        <w:t xml:space="preserve"> in parliamentary work</w:t>
      </w:r>
      <w:r w:rsidRPr="00396960">
        <w:rPr>
          <w:rStyle w:val="FootnoteReference"/>
          <w:noProof/>
          <w:lang w:eastAsia="fr-FR"/>
        </w:rPr>
        <w:footnoteReference w:id="163"/>
      </w:r>
      <w:r w:rsidRPr="00396960">
        <w:rPr>
          <w:noProof/>
          <w:lang w:eastAsia="fr-FR"/>
        </w:rPr>
        <w:t>. Initiatives by civil society, such as Nomosplatform, provide structured and accessible information on parliamentary activity</w:t>
      </w:r>
      <w:r w:rsidRPr="00396960">
        <w:rPr>
          <w:rStyle w:val="FootnoteReference"/>
          <w:noProof/>
          <w:lang w:eastAsia="fr-FR"/>
        </w:rPr>
        <w:footnoteReference w:id="164"/>
      </w:r>
      <w:r w:rsidRPr="00396960">
        <w:rPr>
          <w:noProof/>
          <w:lang w:eastAsia="fr-FR"/>
        </w:rPr>
        <w:t xml:space="preserve">. </w:t>
      </w:r>
    </w:p>
    <w:p w14:paraId="201F5AEE" w14:textId="77777777" w:rsidR="0040534C" w:rsidRPr="00396960" w:rsidRDefault="0040534C" w:rsidP="0040534C">
      <w:pPr>
        <w:rPr>
          <w:b/>
          <w:bCs/>
          <w:noProof/>
          <w:lang w:eastAsia="fr-FR"/>
        </w:rPr>
      </w:pPr>
      <w:r>
        <w:rPr>
          <w:b/>
          <w:bCs/>
          <w:noProof/>
          <w:lang w:eastAsia="fr-FR"/>
        </w:rPr>
        <w:t>Businesses continue to see challenges in the quality of law-making and the need</w:t>
      </w:r>
      <w:r w:rsidRPr="00396960">
        <w:rPr>
          <w:b/>
          <w:bCs/>
          <w:noProof/>
          <w:lang w:eastAsia="fr-FR"/>
        </w:rPr>
        <w:t xml:space="preserve"> to streamline legislation.</w:t>
      </w:r>
      <w:r w:rsidRPr="00396960">
        <w:rPr>
          <w:noProof/>
          <w:lang w:eastAsia="fr-FR"/>
        </w:rPr>
        <w:t xml:space="preserve"> In Cyprus, OECD indicators on regulatory governance and policy remain below the EU average</w:t>
      </w:r>
      <w:r w:rsidRPr="00396960">
        <w:rPr>
          <w:rStyle w:val="FootnoteReference"/>
          <w:noProof/>
          <w:lang w:eastAsia="fr-FR"/>
        </w:rPr>
        <w:footnoteReference w:id="165"/>
      </w:r>
      <w:r w:rsidRPr="00396960">
        <w:rPr>
          <w:noProof/>
          <w:lang w:eastAsia="fr-FR"/>
        </w:rPr>
        <w:t>. There is no systematic use of ex post evaluation of primary and subordinate legislation</w:t>
      </w:r>
      <w:r w:rsidRPr="000E17C9">
        <w:rPr>
          <w:noProof/>
          <w:lang w:eastAsia="fr-FR"/>
        </w:rPr>
        <w:t xml:space="preserve"> </w:t>
      </w:r>
      <w:r w:rsidRPr="00396960">
        <w:rPr>
          <w:noProof/>
          <w:lang w:eastAsia="fr-FR"/>
        </w:rPr>
        <w:t>to verify if rules achieve their objectives in practice</w:t>
      </w:r>
      <w:r>
        <w:rPr>
          <w:noProof/>
          <w:lang w:eastAsia="fr-FR"/>
        </w:rPr>
        <w:t xml:space="preserve">. While the </w:t>
      </w:r>
      <w:r w:rsidRPr="00D041D0">
        <w:rPr>
          <w:noProof/>
          <w:lang w:eastAsia="fr-FR"/>
        </w:rPr>
        <w:t>Law Commissioner carries out simplification and revision of legislation</w:t>
      </w:r>
      <w:r>
        <w:rPr>
          <w:noProof/>
          <w:lang w:eastAsia="fr-FR"/>
        </w:rPr>
        <w:t xml:space="preserve">, this is done </w:t>
      </w:r>
      <w:r w:rsidRPr="00D041D0">
        <w:rPr>
          <w:noProof/>
          <w:lang w:eastAsia="fr-FR"/>
        </w:rPr>
        <w:t>on an ad hoc basis</w:t>
      </w:r>
      <w:r w:rsidRPr="00396960">
        <w:rPr>
          <w:rStyle w:val="FootnoteReference"/>
          <w:noProof/>
          <w:lang w:eastAsia="fr-FR"/>
        </w:rPr>
        <w:footnoteReference w:id="166"/>
      </w:r>
      <w:r w:rsidRPr="00396960">
        <w:rPr>
          <w:noProof/>
          <w:lang w:eastAsia="fr-FR"/>
        </w:rPr>
        <w:t xml:space="preserve">. </w:t>
      </w:r>
      <w:r>
        <w:rPr>
          <w:noProof/>
          <w:lang w:eastAsia="fr-FR"/>
        </w:rPr>
        <w:t>Civil society considers that t</w:t>
      </w:r>
      <w:r w:rsidRPr="00396960">
        <w:rPr>
          <w:noProof/>
          <w:lang w:eastAsia="fr-FR"/>
        </w:rPr>
        <w:t>he Law Commissioner could assume a more prominent role in this area</w:t>
      </w:r>
      <w:r>
        <w:rPr>
          <w:noProof/>
          <w:lang w:eastAsia="fr-FR"/>
        </w:rPr>
        <w:t>, including by carrying out ex post evaluations in a more systematic manner</w:t>
      </w:r>
      <w:r w:rsidRPr="00396960">
        <w:rPr>
          <w:rStyle w:val="FootnoteReference"/>
          <w:noProof/>
          <w:lang w:eastAsia="fr-FR"/>
        </w:rPr>
        <w:footnoteReference w:id="167"/>
      </w:r>
      <w:r w:rsidRPr="00396960">
        <w:rPr>
          <w:noProof/>
          <w:lang w:eastAsia="fr-FR"/>
        </w:rPr>
        <w:t xml:space="preserve">. Strengthening ex post evaluation would help reduce unnecessary administrative burden and facilitate regulatory simplification, which remains an important demand from businesses. In Cyprus, </w:t>
      </w:r>
      <w:r>
        <w:rPr>
          <w:noProof/>
          <w:lang w:eastAsia="fr-FR"/>
        </w:rPr>
        <w:t>35</w:t>
      </w:r>
      <w:r w:rsidRPr="00396960">
        <w:rPr>
          <w:noProof/>
          <w:lang w:eastAsia="fr-FR"/>
        </w:rPr>
        <w:t xml:space="preserve">% of the surveyed companies perceive the frequent changes in legislation or concerns about </w:t>
      </w:r>
      <w:r>
        <w:rPr>
          <w:noProof/>
          <w:lang w:eastAsia="fr-FR"/>
        </w:rPr>
        <w:t xml:space="preserve">the </w:t>
      </w:r>
      <w:r w:rsidRPr="00396960">
        <w:rPr>
          <w:noProof/>
          <w:lang w:eastAsia="fr-FR"/>
        </w:rPr>
        <w:t xml:space="preserve">quality of </w:t>
      </w:r>
      <w:r>
        <w:rPr>
          <w:noProof/>
          <w:lang w:eastAsia="fr-FR"/>
        </w:rPr>
        <w:t xml:space="preserve">the </w:t>
      </w:r>
      <w:r w:rsidRPr="00396960">
        <w:rPr>
          <w:noProof/>
          <w:lang w:eastAsia="fr-FR"/>
        </w:rPr>
        <w:t>law-making process as a reason for the lack of confidence in investment protection (32% in 2025)</w:t>
      </w:r>
      <w:r w:rsidRPr="00396960">
        <w:rPr>
          <w:rStyle w:val="FootnoteReference"/>
          <w:noProof/>
          <w:lang w:eastAsia="fr-FR"/>
        </w:rPr>
        <w:footnoteReference w:id="168"/>
      </w:r>
      <w:r w:rsidRPr="00396960">
        <w:rPr>
          <w:noProof/>
          <w:lang w:eastAsia="fr-FR"/>
        </w:rPr>
        <w:t xml:space="preserve">. </w:t>
      </w:r>
      <w:r>
        <w:rPr>
          <w:noProof/>
          <w:lang w:eastAsia="fr-FR"/>
        </w:rPr>
        <w:t>The establishment of a</w:t>
      </w:r>
      <w:r w:rsidRPr="00396960">
        <w:rPr>
          <w:noProof/>
          <w:lang w:eastAsia="fr-FR"/>
        </w:rPr>
        <w:t xml:space="preserve"> platform </w:t>
      </w:r>
      <w:r>
        <w:rPr>
          <w:noProof/>
          <w:lang w:eastAsia="fr-FR"/>
        </w:rPr>
        <w:t>which aims to digitalise legislative procedures and provide public access to consolidated versions of</w:t>
      </w:r>
      <w:r w:rsidRPr="00396960">
        <w:rPr>
          <w:noProof/>
          <w:lang w:eastAsia="fr-FR"/>
        </w:rPr>
        <w:t xml:space="preserve"> legislation is set to be completed by the end of 2026, enhancing transparency and accessibility</w:t>
      </w:r>
      <w:r w:rsidRPr="00396960">
        <w:rPr>
          <w:rStyle w:val="FootnoteReference"/>
          <w:noProof/>
          <w:lang w:eastAsia="fr-FR"/>
        </w:rPr>
        <w:footnoteReference w:id="169"/>
      </w:r>
      <w:r w:rsidRPr="00396960">
        <w:rPr>
          <w:noProof/>
          <w:lang w:eastAsia="fr-FR"/>
        </w:rPr>
        <w:t>.</w:t>
      </w:r>
    </w:p>
    <w:p w14:paraId="6DF0304E" w14:textId="77777777" w:rsidR="0040534C" w:rsidRPr="00371DAB" w:rsidRDefault="0040534C" w:rsidP="0040534C">
      <w:pPr>
        <w:rPr>
          <w:rFonts w:eastAsia="Calibri"/>
          <w:noProof/>
          <w14:ligatures w14:val="standardContextual"/>
        </w:rPr>
      </w:pPr>
      <w:r>
        <w:rPr>
          <w:b/>
          <w:bCs/>
          <w:noProof/>
          <w:lang w:val="en-IE" w:eastAsia="fr-FR"/>
        </w:rPr>
        <w:t>Less</w:t>
      </w:r>
      <w:r>
        <w:rPr>
          <w:b/>
          <w:bCs/>
          <w:noProof/>
          <w:lang w:eastAsia="fr-FR"/>
        </w:rPr>
        <w:t xml:space="preserve"> than half of companies surveyed in Cyprus express confidence in the effectiveness of investment </w:t>
      </w:r>
      <w:r w:rsidRPr="0005528C">
        <w:rPr>
          <w:b/>
          <w:bCs/>
          <w:noProof/>
          <w:lang w:eastAsia="fr-FR"/>
        </w:rPr>
        <w:t xml:space="preserve">protection. </w:t>
      </w:r>
      <w:r w:rsidRPr="0005528C">
        <w:rPr>
          <w:rFonts w:eastAsia="Calibri"/>
          <w:noProof/>
        </w:rPr>
        <w:t>35% of companies are very or fairly confident that investments are protected by law and courts, a figure which has significantly increased in comparison with 2025 (27%). The main reason</w:t>
      </w:r>
      <w:r>
        <w:rPr>
          <w:rFonts w:eastAsia="Calibri"/>
          <w:noProof/>
        </w:rPr>
        <w:t>s</w:t>
      </w:r>
      <w:r w:rsidRPr="0005528C">
        <w:rPr>
          <w:rFonts w:eastAsia="Calibri"/>
          <w:noProof/>
        </w:rPr>
        <w:t xml:space="preserve"> among companies for their lack of confidence </w:t>
      </w:r>
      <w:r>
        <w:rPr>
          <w:rFonts w:eastAsia="Calibri"/>
          <w:noProof/>
        </w:rPr>
        <w:t>are</w:t>
      </w:r>
      <w:r w:rsidRPr="0005528C">
        <w:rPr>
          <w:rFonts w:eastAsia="Calibri"/>
          <w:noProof/>
        </w:rPr>
        <w:t xml:space="preserve"> difficulty in obtaining fair compensation to protect property (55%)</w:t>
      </w:r>
      <w:r>
        <w:rPr>
          <w:rFonts w:eastAsia="Calibri"/>
          <w:noProof/>
        </w:rPr>
        <w:t xml:space="preserve"> and </w:t>
      </w:r>
      <w:r w:rsidRPr="00E65DB6">
        <w:rPr>
          <w:rFonts w:eastAsia="Calibri"/>
          <w:noProof/>
        </w:rPr>
        <w:t>concerns about quality, efficiency or independence of justice</w:t>
      </w:r>
      <w:r>
        <w:rPr>
          <w:rFonts w:eastAsia="Calibri"/>
          <w:noProof/>
        </w:rPr>
        <w:t xml:space="preserve"> (49%)</w:t>
      </w:r>
      <w:r w:rsidRPr="0005528C">
        <w:rPr>
          <w:rFonts w:eastAsia="Calibri"/>
          <w:noProof/>
          <w:vertAlign w:val="superscript"/>
        </w:rPr>
        <w:footnoteReference w:id="170"/>
      </w:r>
      <w:r w:rsidRPr="0005528C">
        <w:rPr>
          <w:rFonts w:eastAsia="Calibri"/>
          <w:noProof/>
        </w:rPr>
        <w:t>. As</w:t>
      </w:r>
      <w:r w:rsidRPr="00A649D9">
        <w:rPr>
          <w:rFonts w:eastAsia="Calibri"/>
          <w:noProof/>
        </w:rPr>
        <w:t xml:space="preserve"> regards authorities relevant for economic operators, 4</w:t>
      </w:r>
      <w:r>
        <w:rPr>
          <w:rFonts w:eastAsia="Calibri"/>
          <w:noProof/>
        </w:rPr>
        <w:t>6</w:t>
      </w:r>
      <w:r w:rsidRPr="00A649D9">
        <w:rPr>
          <w:rFonts w:eastAsia="Calibri"/>
          <w:noProof/>
        </w:rPr>
        <w:t>% of companies perceive the level of independence of the national competition authority, the</w:t>
      </w:r>
      <w:r w:rsidRPr="00A649D9">
        <w:rPr>
          <w:noProof/>
          <w:lang w:eastAsia="en-IE"/>
        </w:rPr>
        <w:t xml:space="preserve"> Commission for the Protection of Competition,</w:t>
      </w:r>
      <w:r w:rsidRPr="00A649D9">
        <w:rPr>
          <w:rFonts w:eastAsia="Calibri"/>
          <w:noProof/>
        </w:rPr>
        <w:t xml:space="preserve"> as very or fairly good</w:t>
      </w:r>
      <w:r>
        <w:rPr>
          <w:rFonts w:eastAsia="Calibri"/>
          <w:noProof/>
        </w:rPr>
        <w:t>, a figure which has slightly decreased in comparison to 2025 (49%)</w:t>
      </w:r>
      <w:r w:rsidRPr="00A649D9">
        <w:rPr>
          <w:rFonts w:eastAsia="Calibri"/>
          <w:noProof/>
          <w:vertAlign w:val="superscript"/>
        </w:rPr>
        <w:footnoteReference w:id="171"/>
      </w:r>
      <w:r w:rsidRPr="00A649D9">
        <w:rPr>
          <w:rFonts w:eastAsia="Calibri"/>
          <w:noProof/>
        </w:rPr>
        <w:t xml:space="preserve">. </w:t>
      </w:r>
      <w:r w:rsidRPr="00DB6DD0">
        <w:rPr>
          <w:rFonts w:eastAsia="Calibri"/>
          <w:noProof/>
          <w14:ligatures w14:val="standardContextual"/>
        </w:rPr>
        <w:t xml:space="preserve">The Supreme Constitutional Court has jurisdiction in </w:t>
      </w:r>
      <w:r w:rsidRPr="00842397">
        <w:rPr>
          <w:rFonts w:eastAsia="Calibri"/>
          <w:noProof/>
          <w14:ligatures w14:val="standardContextual"/>
        </w:rPr>
        <w:t>several</w:t>
      </w:r>
      <w:r w:rsidRPr="00DB6DD0">
        <w:rPr>
          <w:rFonts w:eastAsia="Calibri"/>
          <w:noProof/>
          <w14:ligatures w14:val="standardContextual"/>
        </w:rPr>
        <w:t xml:space="preserve"> business-related cases, including in cases related to </w:t>
      </w:r>
      <w:r w:rsidRPr="00842397">
        <w:rPr>
          <w:rFonts w:eastAsia="Calibri"/>
          <w:noProof/>
          <w14:ligatures w14:val="standardContextual"/>
        </w:rPr>
        <w:t>public procurement, public contracts and economic regulation</w:t>
      </w:r>
      <w:r w:rsidRPr="00DB6DD0">
        <w:rPr>
          <w:rFonts w:eastAsia="Calibri"/>
          <w:noProof/>
          <w14:ligatures w14:val="standardContextual"/>
        </w:rPr>
        <w:t xml:space="preserve">. A number of judicial mechanisms to improve efficiency are available in these cases, including </w:t>
      </w:r>
      <w:r w:rsidRPr="00842397">
        <w:rPr>
          <w:rFonts w:eastAsia="Calibri"/>
          <w:noProof/>
          <w14:ligatures w14:val="standardContextual"/>
        </w:rPr>
        <w:t>the possibility to apply interim measures, joint examination of similar cases and the consolidation of multiple appeals</w:t>
      </w:r>
      <w:r w:rsidRPr="00842397">
        <w:rPr>
          <w:rStyle w:val="FootnoteReference"/>
          <w:rFonts w:eastAsia="Calibri"/>
          <w:noProof/>
          <w14:ligatures w14:val="standardContextual"/>
        </w:rPr>
        <w:footnoteReference w:id="172"/>
      </w:r>
      <w:r w:rsidRPr="00DB6DD0">
        <w:rPr>
          <w:rFonts w:eastAsia="Calibri"/>
          <w:noProof/>
          <w14:ligatures w14:val="standardContextual"/>
        </w:rPr>
        <w:t>.</w:t>
      </w:r>
    </w:p>
    <w:p w14:paraId="327A03FE" w14:textId="641A9C6F" w:rsidR="0040534C" w:rsidRPr="00396960" w:rsidRDefault="0040534C" w:rsidP="0040534C">
      <w:pPr>
        <w:rPr>
          <w:noProof/>
          <w:lang w:eastAsia="fr-FR"/>
        </w:rPr>
      </w:pPr>
      <w:r w:rsidRPr="4F837813">
        <w:rPr>
          <w:b/>
          <w:bCs/>
          <w:noProof/>
          <w:lang w:eastAsia="fr-FR"/>
        </w:rPr>
        <w:t xml:space="preserve">There has been </w:t>
      </w:r>
      <w:r w:rsidRPr="00EC2556">
        <w:rPr>
          <w:b/>
          <w:bCs/>
          <w:noProof/>
          <w:lang w:eastAsia="fr-FR"/>
        </w:rPr>
        <w:t>significant progress on the recommendation to introduce safeguards in the appointment procedure to enhance the independence of the Auditor General and the Deputy Auditor General</w:t>
      </w:r>
      <w:r w:rsidRPr="00EC2556">
        <w:rPr>
          <w:rStyle w:val="FootnoteReference"/>
          <w:noProof/>
          <w:lang w:eastAsia="fr-FR"/>
        </w:rPr>
        <w:footnoteReference w:id="173"/>
      </w:r>
      <w:r w:rsidRPr="00EC2556">
        <w:rPr>
          <w:b/>
          <w:bCs/>
          <w:noProof/>
          <w:lang w:eastAsia="fr-FR"/>
        </w:rPr>
        <w:t xml:space="preserve">. </w:t>
      </w:r>
      <w:r w:rsidRPr="00EC2556">
        <w:rPr>
          <w:noProof/>
        </w:rPr>
        <w:t>In November 2025, Parliament approved important changes to the Audit Office, including a constitutional amendment. The reform introduces a fixed, non-renewable eight-year term for the Auditor General and his/her Deputy and imposes stricter qualification criteria for their appointment</w:t>
      </w:r>
      <w:r w:rsidRPr="00EC2556">
        <w:rPr>
          <w:rStyle w:val="FootnoteReference"/>
          <w:noProof/>
        </w:rPr>
        <w:footnoteReference w:id="174"/>
      </w:r>
      <w:r w:rsidRPr="00EC2556">
        <w:rPr>
          <w:noProof/>
        </w:rPr>
        <w:t xml:space="preserve">. However, </w:t>
      </w:r>
      <w:r w:rsidRPr="00EC2556">
        <w:rPr>
          <w:noProof/>
          <w:lang w:eastAsia="fr-FR"/>
        </w:rPr>
        <w:t>the appointment procedure itself remains solely under the President of the Republic, with no involvement from other bodies even in an advisory capacity</w:t>
      </w:r>
      <w:r w:rsidRPr="00EC2556">
        <w:rPr>
          <w:rStyle w:val="FootnoteReference"/>
          <w:noProof/>
          <w:lang w:eastAsia="fr-FR"/>
        </w:rPr>
        <w:footnoteReference w:id="175"/>
      </w:r>
      <w:r w:rsidRPr="00EC2556">
        <w:rPr>
          <w:noProof/>
        </w:rPr>
        <w:t>. The Audit Office also gained financial autonomy</w:t>
      </w:r>
      <w:r w:rsidRPr="00EC2556">
        <w:rPr>
          <w:noProof/>
          <w:lang w:eastAsia="fr-FR"/>
        </w:rPr>
        <w:t xml:space="preserve"> through a more direct relationship with Parliament, fulfilling a long-standing demand of the Office</w:t>
      </w:r>
      <w:r w:rsidRPr="00EC2556">
        <w:rPr>
          <w:rStyle w:val="FootnoteReference"/>
          <w:noProof/>
          <w:lang w:eastAsia="fr-FR"/>
        </w:rPr>
        <w:footnoteReference w:id="176"/>
      </w:r>
      <w:r w:rsidRPr="00EC2556">
        <w:rPr>
          <w:noProof/>
          <w:lang w:eastAsia="fr-FR"/>
        </w:rPr>
        <w:t xml:space="preserve">. </w:t>
      </w:r>
      <w:r w:rsidRPr="00EC2556" w:rsidDel="00F06C41">
        <w:rPr>
          <w:noProof/>
          <w:lang w:eastAsia="fr-FR"/>
        </w:rPr>
        <w:t xml:space="preserve">The proposed </w:t>
      </w:r>
      <w:r w:rsidR="00F06C41">
        <w:rPr>
          <w:noProof/>
          <w:lang w:eastAsia="fr-FR"/>
        </w:rPr>
        <w:t>bill aiming</w:t>
      </w:r>
      <w:r w:rsidRPr="00EC2556">
        <w:rPr>
          <w:noProof/>
          <w:lang w:eastAsia="fr-FR"/>
        </w:rPr>
        <w:t xml:space="preserve"> to establish a three-member audit council, appointed by the President to oversee or advise on the Auditor General’s work</w:t>
      </w:r>
      <w:r w:rsidRPr="00EC2556">
        <w:rPr>
          <w:rStyle w:val="FootnoteReference"/>
          <w:noProof/>
          <w:lang w:eastAsia="fr-FR"/>
        </w:rPr>
        <w:footnoteReference w:id="177"/>
      </w:r>
      <w:r w:rsidRPr="00EC2556">
        <w:rPr>
          <w:noProof/>
          <w:lang w:eastAsia="fr-FR"/>
        </w:rPr>
        <w:t xml:space="preserve">, </w:t>
      </w:r>
      <w:r w:rsidR="000F0EDB">
        <w:rPr>
          <w:noProof/>
          <w:lang w:eastAsia="fr-FR"/>
        </w:rPr>
        <w:t xml:space="preserve">remained pending before the </w:t>
      </w:r>
      <w:r w:rsidR="005D222D" w:rsidRPr="005D222D">
        <w:rPr>
          <w:noProof/>
          <w:lang w:eastAsia="fr-FR"/>
        </w:rPr>
        <w:t>Parliamentary Committee on Legal Affairs, Justice and Public Order</w:t>
      </w:r>
      <w:r w:rsidRPr="005D222D">
        <w:rPr>
          <w:noProof/>
          <w:lang w:eastAsia="fr-FR"/>
        </w:rPr>
        <w:t>, f</w:t>
      </w:r>
      <w:r w:rsidRPr="00EC2556">
        <w:rPr>
          <w:noProof/>
          <w:lang w:eastAsia="fr-FR"/>
        </w:rPr>
        <w:t>ollowing strong opposition from many political parties and the Auditor General, who argued that such a council could compromise the Office’s independence and potentially control or delay the release of audit reports</w:t>
      </w:r>
      <w:r w:rsidRPr="00EC2556">
        <w:rPr>
          <w:rStyle w:val="FootnoteReference"/>
          <w:noProof/>
          <w:lang w:eastAsia="fr-FR"/>
        </w:rPr>
        <w:footnoteReference w:id="178"/>
      </w:r>
      <w:r w:rsidRPr="00EC2556">
        <w:rPr>
          <w:noProof/>
          <w:lang w:eastAsia="fr-FR"/>
        </w:rPr>
        <w:t>. The reform in its final form has been welcomed by the Audit Office and by civil society as a positive step towards strengthening the Office’s independence</w:t>
      </w:r>
      <w:r w:rsidRPr="00EC2556">
        <w:rPr>
          <w:rStyle w:val="FootnoteReference"/>
          <w:noProof/>
          <w:lang w:eastAsia="fr-FR"/>
        </w:rPr>
        <w:footnoteReference w:id="179"/>
      </w:r>
      <w:r w:rsidRPr="00EC2556">
        <w:rPr>
          <w:noProof/>
          <w:lang w:eastAsia="fr-FR"/>
        </w:rPr>
        <w:t xml:space="preserve">. </w:t>
      </w:r>
      <w:r w:rsidRPr="00EC2556" w:rsidDel="00803A2D">
        <w:rPr>
          <w:noProof/>
          <w:lang w:eastAsia="fr-FR"/>
        </w:rPr>
        <w:t>There has thus been significant</w:t>
      </w:r>
      <w:r w:rsidRPr="00EC2556">
        <w:rPr>
          <w:noProof/>
          <w:lang w:eastAsia="fr-FR"/>
        </w:rPr>
        <w:t xml:space="preserve"> progress</w:t>
      </w:r>
      <w:r w:rsidRPr="4F837813">
        <w:rPr>
          <w:noProof/>
          <w:lang w:eastAsia="fr-FR"/>
        </w:rPr>
        <w:t xml:space="preserve"> on the implementation of the recommendation made in the previous year. </w:t>
      </w:r>
    </w:p>
    <w:p w14:paraId="0DF7F13B" w14:textId="215EF1FA" w:rsidR="0040534C" w:rsidRPr="003C647D" w:rsidRDefault="0040534C" w:rsidP="0040534C">
      <w:pPr>
        <w:rPr>
          <w:noProof/>
          <w:lang w:eastAsia="fr-FR"/>
        </w:rPr>
      </w:pPr>
      <w:r w:rsidRPr="00396960">
        <w:rPr>
          <w:b/>
          <w:noProof/>
          <w:lang w:eastAsia="fr-FR"/>
        </w:rPr>
        <w:t xml:space="preserve">The Audit Office </w:t>
      </w:r>
      <w:r>
        <w:rPr>
          <w:b/>
          <w:noProof/>
          <w:lang w:eastAsia="fr-FR"/>
        </w:rPr>
        <w:t xml:space="preserve">is </w:t>
      </w:r>
      <w:r w:rsidRPr="00396960">
        <w:rPr>
          <w:b/>
          <w:noProof/>
          <w:lang w:eastAsia="fr-FR"/>
        </w:rPr>
        <w:t>seek</w:t>
      </w:r>
      <w:r>
        <w:rPr>
          <w:b/>
          <w:noProof/>
          <w:lang w:eastAsia="fr-FR"/>
        </w:rPr>
        <w:t>ing</w:t>
      </w:r>
      <w:r w:rsidRPr="00396960">
        <w:rPr>
          <w:b/>
          <w:noProof/>
          <w:lang w:eastAsia="fr-FR"/>
        </w:rPr>
        <w:t xml:space="preserve"> </w:t>
      </w:r>
      <w:r>
        <w:rPr>
          <w:b/>
          <w:noProof/>
          <w:lang w:eastAsia="fr-FR"/>
        </w:rPr>
        <w:t xml:space="preserve">ways </w:t>
      </w:r>
      <w:r w:rsidRPr="00396960">
        <w:rPr>
          <w:b/>
          <w:noProof/>
          <w:lang w:eastAsia="fr-FR"/>
        </w:rPr>
        <w:t>to improve access to information</w:t>
      </w:r>
      <w:r>
        <w:rPr>
          <w:b/>
          <w:noProof/>
          <w:lang w:eastAsia="fr-FR"/>
        </w:rPr>
        <w:t xml:space="preserve"> necessary for the performance of its task</w:t>
      </w:r>
      <w:r w:rsidRPr="00396960">
        <w:rPr>
          <w:b/>
          <w:noProof/>
          <w:lang w:eastAsia="fr-FR"/>
        </w:rPr>
        <w:t>.</w:t>
      </w:r>
      <w:r w:rsidRPr="00396960">
        <w:rPr>
          <w:bCs/>
          <w:noProof/>
          <w:lang w:eastAsia="fr-FR"/>
        </w:rPr>
        <w:t xml:space="preserve"> The Audit Office has made progress in overcoming previously reported </w:t>
      </w:r>
      <w:r>
        <w:rPr>
          <w:bCs/>
          <w:noProof/>
          <w:lang w:eastAsia="fr-FR"/>
        </w:rPr>
        <w:t xml:space="preserve">challenges regarding </w:t>
      </w:r>
      <w:r w:rsidRPr="00396960">
        <w:rPr>
          <w:bCs/>
          <w:noProof/>
          <w:lang w:eastAsia="fr-FR"/>
        </w:rPr>
        <w:t>access to information</w:t>
      </w:r>
      <w:r w:rsidRPr="00396960">
        <w:rPr>
          <w:rStyle w:val="FootnoteReference"/>
          <w:bCs/>
          <w:noProof/>
          <w:lang w:eastAsia="fr-FR"/>
        </w:rPr>
        <w:footnoteReference w:id="180"/>
      </w:r>
      <w:r w:rsidRPr="00396960">
        <w:rPr>
          <w:bCs/>
          <w:noProof/>
          <w:lang w:eastAsia="fr-FR"/>
        </w:rPr>
        <w:t xml:space="preserve">, </w:t>
      </w:r>
      <w:r>
        <w:rPr>
          <w:bCs/>
          <w:noProof/>
          <w:lang w:eastAsia="fr-FR"/>
        </w:rPr>
        <w:t>mainly</w:t>
      </w:r>
      <w:r w:rsidRPr="00396960">
        <w:rPr>
          <w:bCs/>
          <w:noProof/>
          <w:lang w:eastAsia="fr-FR"/>
        </w:rPr>
        <w:t xml:space="preserve"> </w:t>
      </w:r>
      <w:r>
        <w:rPr>
          <w:bCs/>
          <w:noProof/>
          <w:lang w:eastAsia="fr-FR"/>
        </w:rPr>
        <w:t>as a result of</w:t>
      </w:r>
      <w:r w:rsidRPr="00396960">
        <w:rPr>
          <w:bCs/>
          <w:noProof/>
          <w:lang w:eastAsia="fr-FR"/>
        </w:rPr>
        <w:t xml:space="preserve"> enhanced cooperation with the Law Office. Nevertheless, challenges remain, particularly where public bodies delay, </w:t>
      </w:r>
      <w:r>
        <w:rPr>
          <w:bCs/>
          <w:noProof/>
          <w:lang w:eastAsia="fr-FR"/>
        </w:rPr>
        <w:t xml:space="preserve">only </w:t>
      </w:r>
      <w:r w:rsidRPr="00396960">
        <w:rPr>
          <w:bCs/>
          <w:noProof/>
          <w:lang w:eastAsia="fr-FR"/>
        </w:rPr>
        <w:t xml:space="preserve">partially disclose, or </w:t>
      </w:r>
      <w:r>
        <w:rPr>
          <w:bCs/>
          <w:noProof/>
          <w:lang w:eastAsia="fr-FR"/>
        </w:rPr>
        <w:t xml:space="preserve">entirely </w:t>
      </w:r>
      <w:r w:rsidRPr="00396960">
        <w:rPr>
          <w:bCs/>
          <w:noProof/>
          <w:lang w:eastAsia="fr-FR"/>
        </w:rPr>
        <w:t xml:space="preserve">refuse </w:t>
      </w:r>
      <w:r>
        <w:rPr>
          <w:bCs/>
          <w:noProof/>
          <w:lang w:eastAsia="fr-FR"/>
        </w:rPr>
        <w:t xml:space="preserve">to disclose </w:t>
      </w:r>
      <w:r w:rsidRPr="00396960">
        <w:rPr>
          <w:bCs/>
          <w:noProof/>
          <w:lang w:eastAsia="fr-FR"/>
        </w:rPr>
        <w:t>information, sometimes questioning the Audit Office’s audit mandate</w:t>
      </w:r>
      <w:r w:rsidRPr="00396960">
        <w:rPr>
          <w:rStyle w:val="FootnoteReference"/>
          <w:bCs/>
          <w:noProof/>
          <w:lang w:eastAsia="fr-FR"/>
        </w:rPr>
        <w:footnoteReference w:id="181"/>
      </w:r>
      <w:r w:rsidRPr="00396960">
        <w:rPr>
          <w:bCs/>
          <w:noProof/>
          <w:lang w:eastAsia="fr-FR"/>
        </w:rPr>
        <w:t xml:space="preserve">. To address audit gaps, the Auditor General considers that future legislation establishing new public bodies or services should explicitly include provisions defining and safeguarding the Audit Office’s powers to obtain </w:t>
      </w:r>
      <w:r>
        <w:rPr>
          <w:bCs/>
          <w:noProof/>
          <w:lang w:eastAsia="fr-FR"/>
        </w:rPr>
        <w:t xml:space="preserve">the </w:t>
      </w:r>
      <w:r w:rsidRPr="00396960">
        <w:rPr>
          <w:bCs/>
          <w:noProof/>
          <w:lang w:eastAsia="fr-FR"/>
        </w:rPr>
        <w:t>necessary information</w:t>
      </w:r>
      <w:r w:rsidRPr="00396960">
        <w:rPr>
          <w:rStyle w:val="FootnoteReference"/>
          <w:bCs/>
          <w:noProof/>
          <w:lang w:eastAsia="fr-FR"/>
        </w:rPr>
        <w:footnoteReference w:id="182"/>
      </w:r>
      <w:r w:rsidRPr="00396960">
        <w:rPr>
          <w:bCs/>
          <w:noProof/>
          <w:lang w:eastAsia="fr-FR"/>
        </w:rPr>
        <w:t>.</w:t>
      </w:r>
      <w:r w:rsidR="00E82E85">
        <w:rPr>
          <w:bCs/>
          <w:noProof/>
          <w:lang w:eastAsia="fr-FR"/>
        </w:rPr>
        <w:t xml:space="preserve"> </w:t>
      </w:r>
      <w:r w:rsidR="003C647D">
        <w:rPr>
          <w:noProof/>
          <w:lang w:eastAsia="fr-FR"/>
        </w:rPr>
        <w:t>I</w:t>
      </w:r>
      <w:r w:rsidR="003C647D" w:rsidRPr="003C647D">
        <w:rPr>
          <w:noProof/>
          <w:lang w:eastAsia="fr-FR"/>
        </w:rPr>
        <w:t xml:space="preserve">n the case of the Central Bank of Cyprus, the Audit Office submitted </w:t>
      </w:r>
      <w:r w:rsidR="005C0060">
        <w:rPr>
          <w:noProof/>
          <w:lang w:eastAsia="fr-FR"/>
        </w:rPr>
        <w:t>proposals</w:t>
      </w:r>
      <w:r w:rsidR="003C647D" w:rsidRPr="003C647D">
        <w:rPr>
          <w:noProof/>
          <w:lang w:eastAsia="fr-FR"/>
        </w:rPr>
        <w:t xml:space="preserve"> </w:t>
      </w:r>
      <w:r w:rsidR="000363A5">
        <w:rPr>
          <w:noProof/>
          <w:lang w:eastAsia="fr-FR"/>
        </w:rPr>
        <w:t>to</w:t>
      </w:r>
      <w:r w:rsidR="003C647D" w:rsidRPr="003C647D">
        <w:rPr>
          <w:noProof/>
          <w:lang w:eastAsia="fr-FR"/>
        </w:rPr>
        <w:t xml:space="preserve"> the draft </w:t>
      </w:r>
      <w:r w:rsidR="003C647D">
        <w:rPr>
          <w:noProof/>
          <w:lang w:eastAsia="fr-FR"/>
        </w:rPr>
        <w:t>b</w:t>
      </w:r>
      <w:r w:rsidR="003C647D" w:rsidRPr="003C647D">
        <w:rPr>
          <w:noProof/>
          <w:lang w:eastAsia="fr-FR"/>
        </w:rPr>
        <w:t xml:space="preserve">ill </w:t>
      </w:r>
      <w:r w:rsidR="003C647D">
        <w:rPr>
          <w:noProof/>
          <w:lang w:eastAsia="fr-FR"/>
        </w:rPr>
        <w:t>amending</w:t>
      </w:r>
      <w:r w:rsidR="003C647D" w:rsidRPr="003C647D">
        <w:rPr>
          <w:noProof/>
          <w:lang w:eastAsia="fr-FR"/>
        </w:rPr>
        <w:t xml:space="preserve"> the Law </w:t>
      </w:r>
      <w:r w:rsidR="000363A5">
        <w:rPr>
          <w:noProof/>
          <w:lang w:eastAsia="fr-FR"/>
        </w:rPr>
        <w:t>on</w:t>
      </w:r>
      <w:r w:rsidR="003C647D" w:rsidRPr="003C647D">
        <w:rPr>
          <w:noProof/>
          <w:lang w:eastAsia="fr-FR"/>
        </w:rPr>
        <w:t xml:space="preserve"> the functions of the Central Bank of Cyprus</w:t>
      </w:r>
      <w:r w:rsidR="000363A5">
        <w:rPr>
          <w:noProof/>
          <w:lang w:eastAsia="fr-FR"/>
        </w:rPr>
        <w:t>. T</w:t>
      </w:r>
      <w:r w:rsidR="003C647D" w:rsidRPr="003C647D">
        <w:rPr>
          <w:noProof/>
          <w:lang w:eastAsia="fr-FR"/>
        </w:rPr>
        <w:t xml:space="preserve">he suggested amendments explicitly </w:t>
      </w:r>
      <w:r w:rsidR="002D051D" w:rsidRPr="003C647D">
        <w:rPr>
          <w:noProof/>
          <w:lang w:eastAsia="fr-FR"/>
        </w:rPr>
        <w:t xml:space="preserve">clarify </w:t>
      </w:r>
      <w:r w:rsidR="003C647D" w:rsidRPr="003C647D">
        <w:rPr>
          <w:noProof/>
          <w:lang w:eastAsia="fr-FR"/>
        </w:rPr>
        <w:t>the audit rights of the Audit Office</w:t>
      </w:r>
      <w:r w:rsidR="002D051D">
        <w:rPr>
          <w:rStyle w:val="FootnoteReference"/>
          <w:noProof/>
          <w:lang w:eastAsia="fr-FR"/>
        </w:rPr>
        <w:footnoteReference w:id="183"/>
      </w:r>
      <w:r w:rsidR="003C647D" w:rsidRPr="003C647D">
        <w:rPr>
          <w:noProof/>
          <w:lang w:eastAsia="fr-FR"/>
        </w:rPr>
        <w:t>.</w:t>
      </w:r>
    </w:p>
    <w:p w14:paraId="7BEE229F" w14:textId="3D47B4DC" w:rsidR="0040534C" w:rsidRPr="00F25F7C" w:rsidRDefault="0040534C" w:rsidP="0040534C">
      <w:pPr>
        <w:rPr>
          <w:b/>
          <w:noProof/>
          <w:lang w:val="en-IE" w:eastAsia="fr-FR"/>
        </w:rPr>
      </w:pPr>
      <w:r w:rsidRPr="0070440A">
        <w:rPr>
          <w:b/>
          <w:bCs/>
          <w:noProof/>
          <w:lang w:val="en-IE"/>
        </w:rPr>
        <w:t xml:space="preserve">On 1 January </w:t>
      </w:r>
      <w:r>
        <w:rPr>
          <w:b/>
          <w:bCs/>
          <w:noProof/>
          <w:lang w:val="en-IE"/>
        </w:rPr>
        <w:t>2026</w:t>
      </w:r>
      <w:r w:rsidRPr="0070440A">
        <w:rPr>
          <w:b/>
          <w:bCs/>
          <w:noProof/>
          <w:lang w:val="en-IE"/>
        </w:rPr>
        <w:t xml:space="preserve">, </w:t>
      </w:r>
      <w:r>
        <w:rPr>
          <w:b/>
          <w:bCs/>
          <w:noProof/>
          <w:lang w:val="en-IE"/>
        </w:rPr>
        <w:t>Cyprus</w:t>
      </w:r>
      <w:r w:rsidRPr="0070440A">
        <w:rPr>
          <w:b/>
          <w:bCs/>
          <w:noProof/>
          <w:lang w:val="en-IE"/>
        </w:rPr>
        <w:t xml:space="preserve"> had </w:t>
      </w:r>
      <w:r>
        <w:rPr>
          <w:b/>
          <w:bCs/>
          <w:noProof/>
          <w:lang w:val="en-IE"/>
        </w:rPr>
        <w:t>14</w:t>
      </w:r>
      <w:r w:rsidRPr="0070440A">
        <w:rPr>
          <w:b/>
          <w:bCs/>
          <w:noProof/>
          <w:lang w:val="en-IE"/>
        </w:rPr>
        <w:t xml:space="preserve"> leading judgments of the European Court of Human Rights pending implementation, </w:t>
      </w:r>
      <w:r w:rsidRPr="00977434">
        <w:rPr>
          <w:b/>
          <w:bCs/>
          <w:noProof/>
          <w:lang w:val="en-IE"/>
        </w:rPr>
        <w:t>a</w:t>
      </w:r>
      <w:r>
        <w:rPr>
          <w:b/>
          <w:bCs/>
          <w:noProof/>
          <w:lang w:val="en-IE"/>
        </w:rPr>
        <w:t xml:space="preserve">n increase of 6 </w:t>
      </w:r>
      <w:r w:rsidRPr="0070440A">
        <w:rPr>
          <w:b/>
          <w:bCs/>
          <w:noProof/>
          <w:lang w:val="en-IE"/>
        </w:rPr>
        <w:t>compared to the previous year</w:t>
      </w:r>
      <w:r w:rsidRPr="0070440A">
        <w:rPr>
          <w:rStyle w:val="FootnoteReference"/>
          <w:b/>
          <w:bCs/>
          <w:noProof/>
        </w:rPr>
        <w:footnoteReference w:id="184"/>
      </w:r>
      <w:r w:rsidRPr="0070440A">
        <w:rPr>
          <w:b/>
          <w:bCs/>
          <w:noProof/>
          <w:lang w:val="en-IE"/>
        </w:rPr>
        <w:t xml:space="preserve">. </w:t>
      </w:r>
      <w:r w:rsidRPr="0070440A">
        <w:rPr>
          <w:noProof/>
          <w:lang w:val="en-IE"/>
        </w:rPr>
        <w:t xml:space="preserve">At that time, </w:t>
      </w:r>
      <w:r>
        <w:rPr>
          <w:noProof/>
          <w:lang w:val="en-IE"/>
        </w:rPr>
        <w:t>Cyprus’</w:t>
      </w:r>
      <w:r w:rsidRPr="0070440A">
        <w:rPr>
          <w:noProof/>
          <w:lang w:val="en-IE"/>
        </w:rPr>
        <w:t xml:space="preserve"> rate of leading judgments from the past 10 years </w:t>
      </w:r>
      <w:r w:rsidRPr="00DE342E">
        <w:rPr>
          <w:noProof/>
          <w:lang w:val="en-IE"/>
        </w:rPr>
        <w:t>that had been implemented was at</w:t>
      </w:r>
      <w:r w:rsidRPr="00CB693F">
        <w:rPr>
          <w:noProof/>
          <w:lang w:val="en-IE"/>
        </w:rPr>
        <w:t xml:space="preserve"> </w:t>
      </w:r>
      <w:r>
        <w:rPr>
          <w:noProof/>
          <w:lang w:val="en-IE"/>
        </w:rPr>
        <w:t>46</w:t>
      </w:r>
      <w:r w:rsidRPr="00CB693F">
        <w:rPr>
          <w:noProof/>
          <w:lang w:val="en-IE"/>
        </w:rPr>
        <w:t>%</w:t>
      </w:r>
      <w:r w:rsidRPr="0070440A">
        <w:rPr>
          <w:noProof/>
          <w:lang w:val="en-IE"/>
        </w:rPr>
        <w:t xml:space="preserve"> (compared to </w:t>
      </w:r>
      <w:r>
        <w:rPr>
          <w:noProof/>
          <w:lang w:val="en-IE"/>
        </w:rPr>
        <w:t>58</w:t>
      </w:r>
      <w:r w:rsidRPr="00CB693F">
        <w:rPr>
          <w:noProof/>
          <w:lang w:val="en-IE"/>
        </w:rPr>
        <w:t>%</w:t>
      </w:r>
      <w:r w:rsidRPr="0070440A">
        <w:rPr>
          <w:noProof/>
          <w:lang w:val="en-IE"/>
        </w:rPr>
        <w:t xml:space="preserve"> in 202</w:t>
      </w:r>
      <w:r>
        <w:rPr>
          <w:noProof/>
          <w:lang w:val="en-IE"/>
        </w:rPr>
        <w:t>5; 54</w:t>
      </w:r>
      <w:r w:rsidRPr="00CB693F">
        <w:rPr>
          <w:noProof/>
          <w:lang w:val="en-IE"/>
        </w:rPr>
        <w:t>% remained pending</w:t>
      </w:r>
      <w:r w:rsidRPr="0070440A">
        <w:rPr>
          <w:noProof/>
          <w:lang w:val="en-IE"/>
        </w:rPr>
        <w:t xml:space="preserve">), and the average time that the judgments had been pending implementation was </w:t>
      </w:r>
      <w:r>
        <w:rPr>
          <w:noProof/>
          <w:lang w:val="en-IE"/>
        </w:rPr>
        <w:t>2</w:t>
      </w:r>
      <w:r w:rsidRPr="0070440A">
        <w:rPr>
          <w:noProof/>
          <w:lang w:val="en-IE"/>
        </w:rPr>
        <w:t xml:space="preserve"> years and </w:t>
      </w:r>
      <w:r>
        <w:rPr>
          <w:noProof/>
          <w:lang w:val="en-IE"/>
        </w:rPr>
        <w:t>6</w:t>
      </w:r>
      <w:r w:rsidRPr="0070440A">
        <w:rPr>
          <w:noProof/>
          <w:lang w:val="en-IE"/>
        </w:rPr>
        <w:t xml:space="preserve"> months (compared to </w:t>
      </w:r>
      <w:r>
        <w:rPr>
          <w:noProof/>
          <w:lang w:val="en-IE"/>
        </w:rPr>
        <w:t>3</w:t>
      </w:r>
      <w:r w:rsidRPr="0070440A">
        <w:rPr>
          <w:noProof/>
          <w:lang w:val="en-IE"/>
        </w:rPr>
        <w:t xml:space="preserve"> years and </w:t>
      </w:r>
      <w:r>
        <w:rPr>
          <w:noProof/>
          <w:lang w:val="en-IE"/>
        </w:rPr>
        <w:t>6</w:t>
      </w:r>
      <w:r w:rsidRPr="0070440A">
        <w:rPr>
          <w:noProof/>
          <w:lang w:val="en-IE"/>
        </w:rPr>
        <w:t xml:space="preserve"> months in 202</w:t>
      </w:r>
      <w:r>
        <w:rPr>
          <w:noProof/>
          <w:lang w:val="en-IE"/>
        </w:rPr>
        <w:t>5</w:t>
      </w:r>
      <w:r w:rsidRPr="0070440A">
        <w:rPr>
          <w:noProof/>
          <w:lang w:val="en-IE"/>
        </w:rPr>
        <w:t>)</w:t>
      </w:r>
      <w:r w:rsidRPr="0070440A">
        <w:rPr>
          <w:rStyle w:val="FootnoteReference"/>
          <w:noProof/>
        </w:rPr>
        <w:footnoteReference w:id="185"/>
      </w:r>
      <w:r w:rsidRPr="0070440A">
        <w:rPr>
          <w:noProof/>
          <w:lang w:val="en-IE"/>
        </w:rPr>
        <w:t xml:space="preserve">. The oldest leading judgment, pending implementation for </w:t>
      </w:r>
      <w:r>
        <w:rPr>
          <w:noProof/>
          <w:lang w:val="en-IE"/>
        </w:rPr>
        <w:t xml:space="preserve">7 </w:t>
      </w:r>
      <w:r w:rsidRPr="0070440A">
        <w:rPr>
          <w:noProof/>
          <w:lang w:val="en-IE"/>
        </w:rPr>
        <w:t xml:space="preserve">years, </w:t>
      </w:r>
      <w:r w:rsidRPr="00D15A4D">
        <w:rPr>
          <w:noProof/>
        </w:rPr>
        <w:t>concerns the degrading treatment of the applicant due to the poor conditions of his detention at Nicosia Central Prisons</w:t>
      </w:r>
      <w:r w:rsidRPr="0070440A">
        <w:rPr>
          <w:rStyle w:val="FootnoteReference"/>
          <w:noProof/>
        </w:rPr>
        <w:footnoteReference w:id="186"/>
      </w:r>
      <w:r w:rsidRPr="0070440A">
        <w:rPr>
          <w:noProof/>
          <w:lang w:val="en-IE"/>
        </w:rPr>
        <w:t>.</w:t>
      </w:r>
      <w:r w:rsidRPr="0070440A">
        <w:rPr>
          <w:b/>
          <w:bCs/>
          <w:noProof/>
          <w:lang w:val="en-IE"/>
        </w:rPr>
        <w:t xml:space="preserve"> </w:t>
      </w:r>
      <w:r w:rsidRPr="003C487C">
        <w:rPr>
          <w:noProof/>
          <w:lang w:val="en-IE"/>
        </w:rPr>
        <w:t>As regards the respect of payment deadlines, on 31 December 202</w:t>
      </w:r>
      <w:r>
        <w:rPr>
          <w:noProof/>
          <w:lang w:val="en-IE"/>
        </w:rPr>
        <w:t xml:space="preserve">5 </w:t>
      </w:r>
      <w:r w:rsidRPr="003C487C">
        <w:rPr>
          <w:noProof/>
          <w:lang w:val="en-IE"/>
        </w:rPr>
        <w:t xml:space="preserve">there were </w:t>
      </w:r>
      <w:r>
        <w:rPr>
          <w:noProof/>
          <w:lang w:val="en-IE"/>
        </w:rPr>
        <w:t>4</w:t>
      </w:r>
      <w:r w:rsidRPr="003C487C">
        <w:rPr>
          <w:noProof/>
          <w:lang w:val="en-IE"/>
        </w:rPr>
        <w:t xml:space="preserve"> cases in total awaiting confirmation of payments (compared to </w:t>
      </w:r>
      <w:r>
        <w:rPr>
          <w:noProof/>
          <w:lang w:val="en-IE"/>
        </w:rPr>
        <w:t>2</w:t>
      </w:r>
      <w:r w:rsidRPr="003C487C">
        <w:rPr>
          <w:noProof/>
          <w:lang w:val="en-IE"/>
        </w:rPr>
        <w:t xml:space="preserve"> in 202</w:t>
      </w:r>
      <w:r>
        <w:rPr>
          <w:noProof/>
          <w:lang w:val="en-IE"/>
        </w:rPr>
        <w:t>4</w:t>
      </w:r>
      <w:r w:rsidRPr="003C487C">
        <w:rPr>
          <w:noProof/>
          <w:lang w:val="en-IE"/>
        </w:rPr>
        <w:t>)</w:t>
      </w:r>
      <w:r w:rsidRPr="003C487C">
        <w:rPr>
          <w:rStyle w:val="FootnoteReference"/>
          <w:noProof/>
        </w:rPr>
        <w:footnoteReference w:id="187"/>
      </w:r>
      <w:r w:rsidRPr="003C487C">
        <w:rPr>
          <w:noProof/>
          <w:lang w:val="en-IE"/>
        </w:rPr>
        <w:t>.</w:t>
      </w:r>
      <w:r w:rsidRPr="0070440A">
        <w:rPr>
          <w:b/>
          <w:bCs/>
          <w:noProof/>
          <w:lang w:val="en-IE"/>
        </w:rPr>
        <w:t xml:space="preserve"> </w:t>
      </w:r>
      <w:r w:rsidRPr="006C6F85">
        <w:rPr>
          <w:noProof/>
          <w:lang w:val="en-IE"/>
        </w:rPr>
        <w:t xml:space="preserve">On </w:t>
      </w:r>
      <w:r w:rsidR="00C72DBA">
        <w:rPr>
          <w:noProof/>
          <w:lang w:val="en-IE"/>
        </w:rPr>
        <w:t>17</w:t>
      </w:r>
      <w:r w:rsidR="00C72DBA" w:rsidRPr="006C6F85">
        <w:rPr>
          <w:noProof/>
          <w:lang w:val="en-IE"/>
        </w:rPr>
        <w:t xml:space="preserve"> </w:t>
      </w:r>
      <w:r w:rsidRPr="006C6F85">
        <w:rPr>
          <w:noProof/>
          <w:lang w:val="en-IE"/>
        </w:rPr>
        <w:t xml:space="preserve">June 2026, the number of leading judgments pending implementation had </w:t>
      </w:r>
      <w:r w:rsidR="0011290D">
        <w:rPr>
          <w:noProof/>
          <w:lang w:val="en-IE"/>
        </w:rPr>
        <w:t xml:space="preserve">increased </w:t>
      </w:r>
      <w:r w:rsidRPr="006C6F85">
        <w:rPr>
          <w:noProof/>
          <w:lang w:val="en-IE"/>
        </w:rPr>
        <w:t xml:space="preserve">to </w:t>
      </w:r>
      <w:r w:rsidR="007171EA">
        <w:rPr>
          <w:noProof/>
          <w:lang w:val="en-IE"/>
        </w:rPr>
        <w:t>15</w:t>
      </w:r>
      <w:r w:rsidRPr="006C6F85">
        <w:rPr>
          <w:rStyle w:val="FootnoteReference"/>
          <w:noProof/>
        </w:rPr>
        <w:footnoteReference w:id="188"/>
      </w:r>
      <w:r w:rsidRPr="006C6F85">
        <w:rPr>
          <w:noProof/>
          <w:lang w:val="en-IE"/>
        </w:rPr>
        <w:t>.</w:t>
      </w:r>
      <w:r w:rsidRPr="0070440A">
        <w:rPr>
          <w:b/>
          <w:bCs/>
          <w:noProof/>
          <w:lang w:val="en-IE"/>
        </w:rPr>
        <w:t xml:space="preserve"> </w:t>
      </w:r>
    </w:p>
    <w:p w14:paraId="79B324D2" w14:textId="132F291E" w:rsidR="0040534C" w:rsidRPr="00396960" w:rsidRDefault="0040534C" w:rsidP="0040534C">
      <w:pPr>
        <w:rPr>
          <w:noProof/>
          <w:lang w:eastAsia="fr-FR"/>
        </w:rPr>
      </w:pPr>
      <w:r w:rsidRPr="1D4C1AF2">
        <w:rPr>
          <w:b/>
          <w:bCs/>
          <w:noProof/>
          <w:lang w:eastAsia="fr-FR"/>
        </w:rPr>
        <w:t xml:space="preserve">Reforms to improve the framework for Civil Society Organisations (CSOs) are advancing. </w:t>
      </w:r>
      <w:r w:rsidRPr="1D4C1AF2">
        <w:rPr>
          <w:noProof/>
          <w:lang w:eastAsia="fr-FR"/>
        </w:rPr>
        <w:t xml:space="preserve">Civic space in Cyprus </w:t>
      </w:r>
      <w:r w:rsidRPr="006F5602">
        <w:rPr>
          <w:noProof/>
          <w:lang w:eastAsia="fr-FR"/>
        </w:rPr>
        <w:t>continues to be rated as</w:t>
      </w:r>
      <w:r w:rsidRPr="1D4C1AF2">
        <w:rPr>
          <w:noProof/>
          <w:lang w:eastAsia="fr-FR"/>
        </w:rPr>
        <w:t xml:space="preserve"> </w:t>
      </w:r>
      <w:r>
        <w:rPr>
          <w:noProof/>
          <w:lang w:eastAsia="fr-FR"/>
        </w:rPr>
        <w:t>‘</w:t>
      </w:r>
      <w:r w:rsidRPr="1D4C1AF2">
        <w:rPr>
          <w:noProof/>
          <w:lang w:eastAsia="fr-FR"/>
        </w:rPr>
        <w:t>narrowed</w:t>
      </w:r>
      <w:r>
        <w:rPr>
          <w:noProof/>
          <w:lang w:eastAsia="fr-FR"/>
        </w:rPr>
        <w:t>’ by Civicus</w:t>
      </w:r>
      <w:r w:rsidRPr="1D4C1AF2">
        <w:rPr>
          <w:rStyle w:val="FootnoteReference"/>
          <w:noProof/>
          <w:lang w:eastAsia="fr-FR"/>
        </w:rPr>
        <w:footnoteReference w:id="189"/>
      </w:r>
      <w:r w:rsidRPr="1D4C1AF2">
        <w:rPr>
          <w:noProof/>
          <w:lang w:eastAsia="fr-FR"/>
        </w:rPr>
        <w:t>. The revision of the Law on Associations and Foundations</w:t>
      </w:r>
      <w:r>
        <w:rPr>
          <w:noProof/>
          <w:lang w:eastAsia="fr-FR"/>
        </w:rPr>
        <w:t>, which</w:t>
      </w:r>
      <w:r w:rsidRPr="1D4C1AF2">
        <w:rPr>
          <w:noProof/>
          <w:lang w:eastAsia="fr-FR"/>
        </w:rPr>
        <w:t xml:space="preserve"> aim</w:t>
      </w:r>
      <w:r>
        <w:rPr>
          <w:noProof/>
          <w:lang w:eastAsia="fr-FR"/>
        </w:rPr>
        <w:t>s</w:t>
      </w:r>
      <w:r w:rsidRPr="1D4C1AF2">
        <w:rPr>
          <w:noProof/>
          <w:lang w:eastAsia="fr-FR"/>
        </w:rPr>
        <w:t xml:space="preserve"> to reduce administrative burden and </w:t>
      </w:r>
      <w:r>
        <w:rPr>
          <w:noProof/>
          <w:lang w:eastAsia="fr-FR"/>
        </w:rPr>
        <w:t>improve</w:t>
      </w:r>
      <w:r w:rsidRPr="1D4C1AF2">
        <w:rPr>
          <w:noProof/>
          <w:lang w:eastAsia="fr-FR"/>
        </w:rPr>
        <w:t xml:space="preserve"> </w:t>
      </w:r>
      <w:r>
        <w:rPr>
          <w:noProof/>
          <w:lang w:eastAsia="fr-FR"/>
        </w:rPr>
        <w:t xml:space="preserve">the </w:t>
      </w:r>
      <w:r w:rsidRPr="1D4C1AF2">
        <w:rPr>
          <w:noProof/>
          <w:lang w:eastAsia="fr-FR"/>
        </w:rPr>
        <w:t xml:space="preserve">guidance for its application is underway, incorporating feedback from prior consultations </w:t>
      </w:r>
      <w:r>
        <w:rPr>
          <w:noProof/>
          <w:lang w:eastAsia="fr-FR"/>
        </w:rPr>
        <w:t>of</w:t>
      </w:r>
      <w:r w:rsidRPr="1D4C1AF2">
        <w:rPr>
          <w:noProof/>
          <w:lang w:eastAsia="fr-FR"/>
        </w:rPr>
        <w:t xml:space="preserve"> civil society</w:t>
      </w:r>
      <w:r w:rsidRPr="1D4C1AF2">
        <w:rPr>
          <w:rStyle w:val="FootnoteReference"/>
          <w:noProof/>
          <w:lang w:eastAsia="fr-FR"/>
        </w:rPr>
        <w:footnoteReference w:id="190"/>
      </w:r>
      <w:r w:rsidRPr="1D4C1AF2">
        <w:rPr>
          <w:noProof/>
          <w:lang w:eastAsia="fr-FR"/>
        </w:rPr>
        <w:t xml:space="preserve">. The updated draft </w:t>
      </w:r>
      <w:r>
        <w:rPr>
          <w:noProof/>
          <w:lang w:eastAsia="fr-FR"/>
        </w:rPr>
        <w:t xml:space="preserve">legislation </w:t>
      </w:r>
      <w:r w:rsidRPr="1D4C1AF2">
        <w:rPr>
          <w:noProof/>
          <w:lang w:eastAsia="fr-FR"/>
        </w:rPr>
        <w:t>will undergo further discussions with CSOs and public consultation before finalisation</w:t>
      </w:r>
      <w:r w:rsidRPr="1D4C1AF2">
        <w:rPr>
          <w:rStyle w:val="FootnoteReference"/>
          <w:noProof/>
          <w:lang w:eastAsia="fr-FR"/>
        </w:rPr>
        <w:footnoteReference w:id="191"/>
      </w:r>
      <w:r w:rsidRPr="1D4C1AF2">
        <w:rPr>
          <w:noProof/>
          <w:lang w:eastAsia="fr-FR"/>
        </w:rPr>
        <w:t xml:space="preserve">. Meanwhile, authorities </w:t>
      </w:r>
      <w:r>
        <w:rPr>
          <w:noProof/>
          <w:lang w:eastAsia="fr-FR"/>
        </w:rPr>
        <w:t xml:space="preserve">are </w:t>
      </w:r>
      <w:r w:rsidRPr="1D4C1AF2">
        <w:rPr>
          <w:noProof/>
          <w:lang w:eastAsia="fr-FR"/>
        </w:rPr>
        <w:t>promot</w:t>
      </w:r>
      <w:r>
        <w:rPr>
          <w:noProof/>
          <w:lang w:eastAsia="fr-FR"/>
        </w:rPr>
        <w:t>ing</w:t>
      </w:r>
      <w:r w:rsidRPr="1D4C1AF2">
        <w:rPr>
          <w:noProof/>
          <w:lang w:eastAsia="fr-FR"/>
        </w:rPr>
        <w:t xml:space="preserve"> awareness of the electronic CSO registry (NGO platform), and district offices </w:t>
      </w:r>
      <w:r>
        <w:rPr>
          <w:noProof/>
          <w:lang w:eastAsia="fr-FR"/>
        </w:rPr>
        <w:t>are</w:t>
      </w:r>
      <w:r w:rsidRPr="1D4C1AF2">
        <w:rPr>
          <w:noProof/>
          <w:lang w:eastAsia="fr-FR"/>
        </w:rPr>
        <w:t xml:space="preserve"> </w:t>
      </w:r>
      <w:r>
        <w:rPr>
          <w:noProof/>
          <w:lang w:eastAsia="fr-FR"/>
        </w:rPr>
        <w:t xml:space="preserve">making efforts to </w:t>
      </w:r>
      <w:r w:rsidRPr="1D4C1AF2">
        <w:rPr>
          <w:noProof/>
          <w:lang w:eastAsia="fr-FR"/>
        </w:rPr>
        <w:t>streamlin</w:t>
      </w:r>
      <w:r>
        <w:rPr>
          <w:noProof/>
          <w:lang w:eastAsia="fr-FR"/>
        </w:rPr>
        <w:t>e</w:t>
      </w:r>
      <w:r w:rsidRPr="1D4C1AF2">
        <w:rPr>
          <w:noProof/>
          <w:lang w:eastAsia="fr-FR"/>
        </w:rPr>
        <w:t xml:space="preserve"> administrative procedures. </w:t>
      </w:r>
      <w:r>
        <w:rPr>
          <w:noProof/>
          <w:lang w:eastAsia="fr-FR"/>
        </w:rPr>
        <w:t>These</w:t>
      </w:r>
      <w:r w:rsidRPr="1D4C1AF2">
        <w:rPr>
          <w:noProof/>
          <w:lang w:eastAsia="fr-FR"/>
        </w:rPr>
        <w:t xml:space="preserve"> developments have been well received, though certain CSOs still opt for the company legal form</w:t>
      </w:r>
      <w:r>
        <w:rPr>
          <w:noProof/>
          <w:lang w:eastAsia="fr-FR"/>
        </w:rPr>
        <w:t>, citing</w:t>
      </w:r>
      <w:r w:rsidRPr="1D4C1AF2">
        <w:rPr>
          <w:noProof/>
          <w:lang w:eastAsia="fr-FR"/>
        </w:rPr>
        <w:t xml:space="preserve"> bureaucratic hurdles</w:t>
      </w:r>
      <w:r w:rsidRPr="1D4C1AF2">
        <w:rPr>
          <w:rStyle w:val="FootnoteReference"/>
          <w:noProof/>
          <w:lang w:eastAsia="fr-FR"/>
        </w:rPr>
        <w:footnoteReference w:id="192"/>
      </w:r>
      <w:r w:rsidRPr="1D4C1AF2">
        <w:rPr>
          <w:noProof/>
          <w:lang w:eastAsia="fr-FR"/>
        </w:rPr>
        <w:t xml:space="preserve">. </w:t>
      </w:r>
      <w:r>
        <w:rPr>
          <w:noProof/>
          <w:lang w:eastAsia="fr-FR"/>
        </w:rPr>
        <w:t xml:space="preserve">In October 2025, the Supreme Constitutional Court </w:t>
      </w:r>
      <w:r w:rsidRPr="00154809">
        <w:rPr>
          <w:noProof/>
          <w:lang w:eastAsia="fr-FR"/>
        </w:rPr>
        <w:t xml:space="preserve">overturned </w:t>
      </w:r>
      <w:r>
        <w:rPr>
          <w:noProof/>
          <w:lang w:eastAsia="fr-FR"/>
        </w:rPr>
        <w:t>the</w:t>
      </w:r>
      <w:r w:rsidRPr="00154809">
        <w:rPr>
          <w:noProof/>
          <w:lang w:eastAsia="fr-FR"/>
        </w:rPr>
        <w:t xml:space="preserve"> deregistration</w:t>
      </w:r>
      <w:r>
        <w:rPr>
          <w:noProof/>
          <w:lang w:eastAsia="fr-FR"/>
        </w:rPr>
        <w:t xml:space="preserve"> of a CSO dating from 2020</w:t>
      </w:r>
      <w:r w:rsidRPr="00154809">
        <w:rPr>
          <w:noProof/>
          <w:lang w:eastAsia="fr-FR"/>
        </w:rPr>
        <w:t xml:space="preserve">, affirming that the state must respect and protect the role of </w:t>
      </w:r>
      <w:r>
        <w:rPr>
          <w:noProof/>
          <w:lang w:eastAsia="fr-FR"/>
        </w:rPr>
        <w:t>CSOs</w:t>
      </w:r>
      <w:r w:rsidRPr="00154809">
        <w:rPr>
          <w:noProof/>
          <w:lang w:eastAsia="fr-FR"/>
        </w:rPr>
        <w:t>, particularly those advocating for vulnerable groups</w:t>
      </w:r>
      <w:r>
        <w:rPr>
          <w:rStyle w:val="FootnoteReference"/>
          <w:noProof/>
          <w:lang w:eastAsia="fr-FR"/>
        </w:rPr>
        <w:footnoteReference w:id="193"/>
      </w:r>
      <w:r>
        <w:rPr>
          <w:noProof/>
          <w:lang w:eastAsia="fr-FR"/>
        </w:rPr>
        <w:t xml:space="preserve">. </w:t>
      </w:r>
      <w:r w:rsidRPr="1D4C1AF2">
        <w:rPr>
          <w:noProof/>
          <w:lang w:eastAsia="fr-FR"/>
        </w:rPr>
        <w:t xml:space="preserve">A 2025 law on public assemblies was criticised for imposing restrictive </w:t>
      </w:r>
      <w:r w:rsidR="00D57814">
        <w:rPr>
          <w:noProof/>
          <w:lang w:eastAsia="fr-FR"/>
        </w:rPr>
        <w:t>notification procedures</w:t>
      </w:r>
      <w:r w:rsidRPr="1D4C1AF2">
        <w:rPr>
          <w:noProof/>
          <w:lang w:eastAsia="fr-FR"/>
        </w:rPr>
        <w:t xml:space="preserve"> and organiser liability, limiting the right to freedom of assembly</w:t>
      </w:r>
      <w:r w:rsidR="0032238D">
        <w:rPr>
          <w:noProof/>
          <w:lang w:eastAsia="fr-FR"/>
        </w:rPr>
        <w:t>,</w:t>
      </w:r>
      <w:r w:rsidRPr="1D4C1AF2">
        <w:rPr>
          <w:noProof/>
          <w:lang w:eastAsia="fr-FR"/>
        </w:rPr>
        <w:t xml:space="preserve"> and was substantially amended in </w:t>
      </w:r>
      <w:r>
        <w:rPr>
          <w:noProof/>
          <w:lang w:val="en-US" w:eastAsia="fr-FR"/>
        </w:rPr>
        <w:t>March</w:t>
      </w:r>
      <w:r w:rsidRPr="1D4C1AF2">
        <w:rPr>
          <w:noProof/>
          <w:lang w:eastAsia="fr-FR"/>
        </w:rPr>
        <w:t xml:space="preserve"> 2026</w:t>
      </w:r>
      <w:r w:rsidRPr="1D4C1AF2">
        <w:rPr>
          <w:rStyle w:val="FootnoteReference"/>
          <w:noProof/>
          <w:lang w:eastAsia="fr-FR"/>
        </w:rPr>
        <w:footnoteReference w:id="194"/>
      </w:r>
      <w:r w:rsidRPr="1D4C1AF2">
        <w:rPr>
          <w:noProof/>
          <w:lang w:eastAsia="fr-FR"/>
        </w:rPr>
        <w:t xml:space="preserve">. The revised legislation </w:t>
      </w:r>
      <w:r w:rsidR="00DF35C8" w:rsidRPr="00DF35C8">
        <w:rPr>
          <w:noProof/>
          <w:lang w:eastAsia="fr-FR"/>
        </w:rPr>
        <w:t>clarifies that organi</w:t>
      </w:r>
      <w:r w:rsidR="009373DC">
        <w:rPr>
          <w:noProof/>
          <w:lang w:eastAsia="fr-FR"/>
        </w:rPr>
        <w:t>s</w:t>
      </w:r>
      <w:r w:rsidR="00DF35C8" w:rsidRPr="00DF35C8">
        <w:rPr>
          <w:noProof/>
          <w:lang w:eastAsia="fr-FR"/>
        </w:rPr>
        <w:t>ers are protected from being held liable for the conduct of the participants,</w:t>
      </w:r>
      <w:r w:rsidRPr="1D4C1AF2">
        <w:rPr>
          <w:noProof/>
          <w:lang w:eastAsia="fr-FR"/>
        </w:rPr>
        <w:t xml:space="preserve"> protects spontaneous assemblies, and limits police powers to dissolve demonstrations to a </w:t>
      </w:r>
      <w:r>
        <w:rPr>
          <w:noProof/>
          <w:lang w:eastAsia="fr-FR"/>
        </w:rPr>
        <w:t xml:space="preserve">measure of </w:t>
      </w:r>
      <w:r w:rsidRPr="1D4C1AF2">
        <w:rPr>
          <w:noProof/>
          <w:lang w:eastAsia="fr-FR"/>
        </w:rPr>
        <w:t>last</w:t>
      </w:r>
      <w:r>
        <w:rPr>
          <w:noProof/>
          <w:lang w:eastAsia="fr-FR"/>
        </w:rPr>
        <w:t xml:space="preserve"> </w:t>
      </w:r>
      <w:r w:rsidRPr="1D4C1AF2">
        <w:rPr>
          <w:noProof/>
          <w:lang w:eastAsia="fr-FR"/>
        </w:rPr>
        <w:t>resort; a shift widely welcomed by stakeholders</w:t>
      </w:r>
      <w:r w:rsidRPr="1D4C1AF2">
        <w:rPr>
          <w:rStyle w:val="FootnoteReference"/>
          <w:noProof/>
          <w:lang w:eastAsia="fr-FR"/>
        </w:rPr>
        <w:footnoteReference w:id="195"/>
      </w:r>
      <w:r w:rsidRPr="1D4C1AF2">
        <w:rPr>
          <w:noProof/>
          <w:lang w:eastAsia="fr-FR"/>
        </w:rPr>
        <w:t xml:space="preserve">. The Ombudsperson launched a public awareness campaign against hate speech and disinformation, in collaboration with the Advisory Committee on Human Rights and other civil society </w:t>
      </w:r>
      <w:r w:rsidRPr="1D4C1AF2">
        <w:rPr>
          <w:noProof/>
          <w:lang w:val="en-US" w:eastAsia="fr-FR"/>
        </w:rPr>
        <w:t>representatives</w:t>
      </w:r>
      <w:r w:rsidRPr="1D4C1AF2">
        <w:rPr>
          <w:rStyle w:val="FootnoteReference"/>
          <w:noProof/>
          <w:lang w:val="en-US" w:eastAsia="fr-FR"/>
        </w:rPr>
        <w:footnoteReference w:id="196"/>
      </w:r>
      <w:r w:rsidRPr="1D4C1AF2">
        <w:rPr>
          <w:noProof/>
          <w:lang w:val="en-US" w:eastAsia="fr-FR"/>
        </w:rPr>
        <w:t>.</w:t>
      </w:r>
    </w:p>
    <w:p w14:paraId="68987E41" w14:textId="6778F702" w:rsidR="0040534C" w:rsidRPr="00652853" w:rsidRDefault="0040534C" w:rsidP="0040534C">
      <w:pPr>
        <w:rPr>
          <w:bCs/>
          <w:noProof/>
          <w:lang w:eastAsia="fr-FR"/>
        </w:rPr>
      </w:pPr>
      <w:bookmarkStart w:id="34" w:name="_Hlk223102917"/>
      <w:r w:rsidRPr="00125139">
        <w:rPr>
          <w:b/>
          <w:bCs/>
          <w:noProof/>
          <w:lang w:eastAsia="fr-FR"/>
        </w:rPr>
        <w:t xml:space="preserve">Parliament’s </w:t>
      </w:r>
      <w:r w:rsidRPr="00125139">
        <w:rPr>
          <w:b/>
          <w:bCs/>
          <w:noProof/>
          <w:szCs w:val="24"/>
          <w:lang w:val="en-US"/>
        </w:rPr>
        <w:t xml:space="preserve">regular stakeholder discussions </w:t>
      </w:r>
      <w:r w:rsidRPr="00125139">
        <w:rPr>
          <w:b/>
          <w:bCs/>
          <w:noProof/>
          <w:lang w:eastAsia="fr-FR"/>
        </w:rPr>
        <w:t>foster public debate on the</w:t>
      </w:r>
      <w:r w:rsidRPr="00396960">
        <w:rPr>
          <w:b/>
          <w:bCs/>
          <w:noProof/>
          <w:lang w:eastAsia="fr-FR"/>
        </w:rPr>
        <w:t xml:space="preserve"> rule of law. </w:t>
      </w:r>
      <w:bookmarkEnd w:id="34"/>
      <w:r w:rsidRPr="00396960">
        <w:rPr>
          <w:noProof/>
          <w:lang w:eastAsia="fr-FR"/>
        </w:rPr>
        <w:t xml:space="preserve">In September 2025, the </w:t>
      </w:r>
      <w:r w:rsidR="001B0B8F">
        <w:rPr>
          <w:noProof/>
          <w:lang w:eastAsia="fr-FR"/>
        </w:rPr>
        <w:t xml:space="preserve">House </w:t>
      </w:r>
      <w:r w:rsidRPr="00396960">
        <w:rPr>
          <w:noProof/>
          <w:lang w:eastAsia="fr-FR"/>
        </w:rPr>
        <w:t xml:space="preserve">Standing Committee on </w:t>
      </w:r>
      <w:r w:rsidR="001B0B8F">
        <w:rPr>
          <w:noProof/>
          <w:lang w:eastAsia="fr-FR"/>
        </w:rPr>
        <w:t>Institutions, Merit</w:t>
      </w:r>
      <w:r w:rsidRPr="00396960">
        <w:rPr>
          <w:noProof/>
          <w:lang w:eastAsia="fr-FR"/>
        </w:rPr>
        <w:t xml:space="preserve"> and the Commissioner for Administration</w:t>
      </w:r>
      <w:r w:rsidR="001C19A4">
        <w:rPr>
          <w:noProof/>
          <w:lang w:eastAsia="fr-FR"/>
        </w:rPr>
        <w:t xml:space="preserve"> (Ombudsman)</w:t>
      </w:r>
      <w:r w:rsidRPr="00396960">
        <w:rPr>
          <w:noProof/>
          <w:lang w:eastAsia="fr-FR"/>
        </w:rPr>
        <w:t xml:space="preserve"> </w:t>
      </w:r>
      <w:r>
        <w:rPr>
          <w:noProof/>
          <w:lang w:eastAsia="fr-FR"/>
        </w:rPr>
        <w:t xml:space="preserve">of the Parliament </w:t>
      </w:r>
      <w:r w:rsidRPr="00396960">
        <w:rPr>
          <w:noProof/>
          <w:lang w:eastAsia="fr-FR"/>
        </w:rPr>
        <w:t xml:space="preserve">held </w:t>
      </w:r>
      <w:r>
        <w:rPr>
          <w:noProof/>
          <w:lang w:eastAsia="fr-FR"/>
        </w:rPr>
        <w:t>its</w:t>
      </w:r>
      <w:r w:rsidRPr="00396960">
        <w:rPr>
          <w:noProof/>
          <w:lang w:eastAsia="fr-FR"/>
        </w:rPr>
        <w:t xml:space="preserve"> annual debate on the </w:t>
      </w:r>
      <w:r>
        <w:rPr>
          <w:noProof/>
          <w:lang w:eastAsia="fr-FR"/>
        </w:rPr>
        <w:t xml:space="preserve">findings of the Rule of Law </w:t>
      </w:r>
      <w:r w:rsidRPr="00396960">
        <w:rPr>
          <w:noProof/>
          <w:lang w:eastAsia="fr-FR"/>
        </w:rPr>
        <w:t xml:space="preserve">Report, </w:t>
      </w:r>
      <w:r>
        <w:rPr>
          <w:noProof/>
          <w:lang w:eastAsia="fr-FR"/>
        </w:rPr>
        <w:t xml:space="preserve">which is by now </w:t>
      </w:r>
      <w:r w:rsidRPr="00396960">
        <w:rPr>
          <w:noProof/>
          <w:lang w:eastAsia="fr-FR"/>
        </w:rPr>
        <w:t>an established practice</w:t>
      </w:r>
      <w:r w:rsidRPr="00396960">
        <w:rPr>
          <w:bCs/>
          <w:noProof/>
          <w:lang w:eastAsia="fr-FR"/>
        </w:rPr>
        <w:t>.</w:t>
      </w:r>
      <w:r w:rsidRPr="00396960">
        <w:rPr>
          <w:noProof/>
          <w:lang w:eastAsia="fr-FR"/>
        </w:rPr>
        <w:t xml:space="preserve"> The debate brought together institutional actors, legal professionals and representatives of civil society and attracted significant media attention. Stakeholders broadly welcome the </w:t>
      </w:r>
      <w:r>
        <w:rPr>
          <w:noProof/>
          <w:lang w:eastAsia="fr-FR"/>
        </w:rPr>
        <w:t>event</w:t>
      </w:r>
      <w:r w:rsidRPr="00396960">
        <w:rPr>
          <w:noProof/>
          <w:lang w:eastAsia="fr-FR"/>
        </w:rPr>
        <w:t xml:space="preserve"> as a valuable contribution to raising public awareness of rule of law issues and as a starting point for constructive and inclusive dialogue</w:t>
      </w:r>
      <w:r w:rsidRPr="00396960">
        <w:rPr>
          <w:rStyle w:val="FootnoteReference"/>
          <w:bCs/>
          <w:noProof/>
          <w:lang w:eastAsia="fr-FR"/>
        </w:rPr>
        <w:footnoteReference w:id="197"/>
      </w:r>
      <w:r w:rsidRPr="00396960">
        <w:rPr>
          <w:bCs/>
          <w:noProof/>
          <w:lang w:eastAsia="fr-FR"/>
        </w:rPr>
        <w:t xml:space="preserve">. </w:t>
      </w:r>
    </w:p>
    <w:p w14:paraId="3D306818" w14:textId="77777777" w:rsidR="0040534C" w:rsidRPr="00396960" w:rsidRDefault="0040534C" w:rsidP="0040534C">
      <w:pPr>
        <w:pageBreakBefore/>
        <w:spacing w:after="120" w:line="264" w:lineRule="auto"/>
        <w:rPr>
          <w:b/>
          <w:noProof/>
          <w:lang w:eastAsia="en-GB"/>
        </w:rPr>
      </w:pPr>
      <w:r w:rsidRPr="00396960">
        <w:rPr>
          <w:b/>
          <w:noProof/>
          <w:lang w:eastAsia="en-GB"/>
        </w:rPr>
        <w:t>Annex I: List of sources in alphabetical order*</w:t>
      </w:r>
    </w:p>
    <w:p w14:paraId="05162A74" w14:textId="0BAF32AE" w:rsidR="0040534C" w:rsidRDefault="0040534C" w:rsidP="0040534C">
      <w:pPr>
        <w:spacing w:after="120"/>
        <w:rPr>
          <w:i/>
          <w:noProof/>
          <w:sz w:val="22"/>
          <w:lang w:eastAsia="en-GB"/>
        </w:rPr>
      </w:pPr>
      <w:r w:rsidRPr="00396960">
        <w:rPr>
          <w:i/>
          <w:noProof/>
          <w:sz w:val="22"/>
          <w:lang w:eastAsia="en-GB"/>
        </w:rPr>
        <w:t xml:space="preserve">* The list of contributions received in the context of the consultation for the 2026 Rule of Law Report can be found at </w:t>
      </w:r>
      <w:hyperlink r:id="rId22" w:history="1">
        <w:r w:rsidR="005C66DA" w:rsidRPr="005C66DA">
          <w:rPr>
            <w:rStyle w:val="Hyperlink"/>
            <w:i/>
            <w:noProof/>
            <w:sz w:val="22"/>
            <w:lang w:val="en-US" w:eastAsia="en-GB"/>
          </w:rPr>
          <w:t>https://commission.europa.eu/publications/2026-rule-law-report-targeted-stakeholder-consultation_en</w:t>
        </w:r>
      </w:hyperlink>
      <w:r w:rsidRPr="00143EA2">
        <w:rPr>
          <w:i/>
          <w:noProof/>
          <w:sz w:val="22"/>
          <w:lang w:eastAsia="en-GB"/>
        </w:rPr>
        <w:t>.</w:t>
      </w:r>
    </w:p>
    <w:p w14:paraId="3E674D6D" w14:textId="77777777" w:rsidR="0040534C" w:rsidRPr="008522E9" w:rsidRDefault="0040534C" w:rsidP="0040534C">
      <w:pPr>
        <w:spacing w:after="120"/>
        <w:rPr>
          <w:rStyle w:val="Hyperlink"/>
          <w:i/>
          <w:noProof/>
          <w:sz w:val="22"/>
          <w:lang w:eastAsia="en-GB"/>
        </w:rPr>
      </w:pPr>
      <w:r w:rsidRPr="00F84FFB">
        <w:rPr>
          <w:iCs/>
          <w:noProof/>
          <w:sz w:val="22"/>
          <w:lang w:eastAsia="en-GB"/>
        </w:rPr>
        <w:t>Audit Office (</w:t>
      </w:r>
      <w:r w:rsidRPr="006E51BC">
        <w:rPr>
          <w:iCs/>
          <w:noProof/>
          <w:sz w:val="22"/>
          <w:lang w:eastAsia="en-GB"/>
        </w:rPr>
        <w:t>2025</w:t>
      </w:r>
      <w:r>
        <w:rPr>
          <w:iCs/>
          <w:noProof/>
          <w:sz w:val="22"/>
          <w:lang w:eastAsia="en-GB"/>
        </w:rPr>
        <w:t>a</w:t>
      </w:r>
      <w:r w:rsidRPr="006E51BC">
        <w:rPr>
          <w:iCs/>
          <w:noProof/>
          <w:sz w:val="22"/>
          <w:lang w:eastAsia="en-GB"/>
        </w:rPr>
        <w:t xml:space="preserve">), </w:t>
      </w:r>
      <w:r w:rsidRPr="007C0AC2">
        <w:rPr>
          <w:i/>
          <w:noProof/>
          <w:sz w:val="22"/>
          <w:lang w:eastAsia="en-GB"/>
        </w:rPr>
        <w:t>Special Report on the Independent Social Support Agency</w:t>
      </w:r>
      <w:r w:rsidRPr="006E51BC">
        <w:rPr>
          <w:i/>
          <w:noProof/>
          <w:sz w:val="22"/>
          <w:lang w:eastAsia="en-GB"/>
        </w:rPr>
        <w:t xml:space="preserve"> </w:t>
      </w:r>
      <w:r>
        <w:rPr>
          <w:i/>
          <w:noProof/>
          <w:sz w:val="22"/>
          <w:lang w:eastAsia="en-GB"/>
        </w:rPr>
        <w:fldChar w:fldCharType="begin"/>
      </w:r>
      <w:r>
        <w:rPr>
          <w:i/>
          <w:noProof/>
          <w:sz w:val="22"/>
          <w:lang w:eastAsia="en-GB"/>
        </w:rPr>
        <w:instrText>HYPERLINK "https://www.gov.cy/media/sites/12/2025/11/%CE%95%CE%B9%CE%B4%CE%B9%CE%BA%CE%AE-%CE%88%CE%BA%CE%B8%CE%B5%CF%83%CE%B7-40_2025.pdf"</w:instrText>
      </w:r>
      <w:r>
        <w:rPr>
          <w:i/>
          <w:noProof/>
          <w:sz w:val="22"/>
          <w:lang w:eastAsia="en-GB"/>
        </w:rPr>
        <w:fldChar w:fldCharType="separate"/>
      </w:r>
      <w:r w:rsidRPr="008522E9">
        <w:rPr>
          <w:rStyle w:val="Hyperlink"/>
          <w:iCs/>
          <w:noProof/>
          <w:sz w:val="22"/>
          <w:lang w:eastAsia="en-GB"/>
        </w:rPr>
        <w:t xml:space="preserve">https://www.gov.cy/media/sites/12/2025/11/ </w:t>
      </w:r>
    </w:p>
    <w:p w14:paraId="1C122BA9" w14:textId="77777777" w:rsidR="0040534C" w:rsidRPr="007C0AC2" w:rsidRDefault="0040534C" w:rsidP="0040534C">
      <w:pPr>
        <w:spacing w:after="120"/>
        <w:rPr>
          <w:noProof/>
          <w:sz w:val="22"/>
          <w:lang w:val="en-IE"/>
        </w:rPr>
      </w:pPr>
      <w:r>
        <w:rPr>
          <w:i/>
          <w:noProof/>
          <w:sz w:val="22"/>
          <w:lang w:eastAsia="en-GB"/>
        </w:rPr>
        <w:fldChar w:fldCharType="end"/>
      </w:r>
      <w:r w:rsidRPr="00F84FFB">
        <w:rPr>
          <w:iCs/>
          <w:noProof/>
          <w:sz w:val="22"/>
          <w:lang w:eastAsia="en-GB"/>
        </w:rPr>
        <w:t>Audit Office (2025</w:t>
      </w:r>
      <w:r>
        <w:rPr>
          <w:iCs/>
          <w:noProof/>
          <w:sz w:val="22"/>
          <w:lang w:eastAsia="en-GB"/>
        </w:rPr>
        <w:t>b</w:t>
      </w:r>
      <w:r w:rsidRPr="00F84FFB">
        <w:rPr>
          <w:iCs/>
          <w:noProof/>
          <w:sz w:val="22"/>
          <w:lang w:eastAsia="en-GB"/>
        </w:rPr>
        <w:t xml:space="preserve">), </w:t>
      </w:r>
      <w:r w:rsidRPr="00F84FFB">
        <w:rPr>
          <w:i/>
          <w:noProof/>
          <w:sz w:val="22"/>
          <w:lang w:eastAsia="en-GB"/>
        </w:rPr>
        <w:t>Consolidated Report of 17 October 2025 of Compliance Audit Findings of Parliamentary Political parties for the years 2016 to 2021</w:t>
      </w:r>
      <w:r w:rsidRPr="00F84FFB">
        <w:rPr>
          <w:iCs/>
          <w:noProof/>
          <w:sz w:val="22"/>
          <w:lang w:eastAsia="en-GB"/>
        </w:rPr>
        <w:t xml:space="preserve">. </w:t>
      </w:r>
      <w:hyperlink r:id="rId23" w:history="1">
        <w:r w:rsidRPr="007C0AC2">
          <w:rPr>
            <w:rStyle w:val="Hyperlink"/>
            <w:noProof/>
            <w:sz w:val="22"/>
            <w:lang w:val="en-US"/>
          </w:rPr>
          <w:t>https://www.gov.cy/media/sites/12/2025/11</w:t>
        </w:r>
      </w:hyperlink>
    </w:p>
    <w:p w14:paraId="0021BCCD" w14:textId="77777777" w:rsidR="0040534C" w:rsidRPr="007C6DA5" w:rsidRDefault="0040534C" w:rsidP="0040534C">
      <w:pPr>
        <w:spacing w:after="120"/>
        <w:rPr>
          <w:i/>
          <w:iCs/>
          <w:noProof/>
          <w:sz w:val="22"/>
          <w:lang w:eastAsia="en-GB"/>
        </w:rPr>
      </w:pPr>
      <w:r w:rsidRPr="00F84FFB">
        <w:rPr>
          <w:iCs/>
          <w:noProof/>
          <w:sz w:val="22"/>
          <w:lang w:eastAsia="en-GB"/>
        </w:rPr>
        <w:t>Audit Office (2026),</w:t>
      </w:r>
      <w:r w:rsidRPr="00F84FFB">
        <w:rPr>
          <w:i/>
          <w:iCs/>
          <w:noProof/>
          <w:sz w:val="22"/>
          <w:lang w:eastAsia="en-GB"/>
        </w:rPr>
        <w:t xml:space="preserve"> </w:t>
      </w:r>
      <w:r w:rsidRPr="007C6DA5">
        <w:rPr>
          <w:i/>
          <w:iCs/>
          <w:noProof/>
          <w:sz w:val="22"/>
          <w:lang w:eastAsia="en-GB"/>
        </w:rPr>
        <w:t>Written input for the 2026 Rule of Law Report in the context of the country visit to Cyprus.</w:t>
      </w:r>
    </w:p>
    <w:p w14:paraId="2954C61D" w14:textId="77777777" w:rsidR="0040534C" w:rsidRDefault="0040534C" w:rsidP="0040534C">
      <w:pPr>
        <w:spacing w:after="120"/>
        <w:rPr>
          <w:noProof/>
          <w:sz w:val="22"/>
          <w:lang w:eastAsia="en-GB"/>
        </w:rPr>
      </w:pPr>
      <w:r w:rsidRPr="007C0AC2">
        <w:rPr>
          <w:noProof/>
          <w:sz w:val="22"/>
          <w:lang w:eastAsia="en-GB"/>
        </w:rPr>
        <w:t>Centre for Media Pluralism and Media Freedom (2026), Media Pluralism Monitor 2026, Country report for Cyprus, Media Pluralism Monitor – Centre for Media Pluralism and Media Freedom.</w:t>
      </w:r>
    </w:p>
    <w:p w14:paraId="3440FE82" w14:textId="77777777" w:rsidR="0040534C" w:rsidRPr="007C0AC2" w:rsidRDefault="0040534C" w:rsidP="0040534C">
      <w:pPr>
        <w:spacing w:after="120"/>
        <w:rPr>
          <w:noProof/>
          <w:sz w:val="22"/>
        </w:rPr>
      </w:pPr>
      <w:r w:rsidRPr="007C0AC2">
        <w:rPr>
          <w:noProof/>
          <w:sz w:val="22"/>
        </w:rPr>
        <w:t xml:space="preserve">CIReN (2026a), </w:t>
      </w:r>
      <w:r w:rsidRPr="007C0AC2">
        <w:rPr>
          <w:i/>
          <w:iCs/>
          <w:noProof/>
          <w:sz w:val="22"/>
        </w:rPr>
        <w:t xml:space="preserve">Cyprus lacks transparency in media ownership, </w:t>
      </w:r>
      <w:r w:rsidRPr="007C0AC2">
        <w:rPr>
          <w:noProof/>
          <w:sz w:val="22"/>
        </w:rPr>
        <w:t>14 January 2026,</w:t>
      </w:r>
      <w:r w:rsidRPr="007C0AC2">
        <w:rPr>
          <w:i/>
          <w:iCs/>
          <w:noProof/>
          <w:sz w:val="22"/>
        </w:rPr>
        <w:t xml:space="preserve"> </w:t>
      </w:r>
      <w:hyperlink r:id="rId24" w:history="1">
        <w:r w:rsidRPr="007C0AC2">
          <w:rPr>
            <w:rStyle w:val="Hyperlink"/>
            <w:noProof/>
            <w:sz w:val="22"/>
          </w:rPr>
          <w:t>Cyprus lacks transparency in media ownership - CIReN</w:t>
        </w:r>
      </w:hyperlink>
      <w:r w:rsidRPr="007C0AC2">
        <w:rPr>
          <w:noProof/>
          <w:sz w:val="22"/>
        </w:rPr>
        <w:t>.</w:t>
      </w:r>
    </w:p>
    <w:p w14:paraId="3C709D64" w14:textId="77777777" w:rsidR="0040534C" w:rsidRPr="007C0AC2" w:rsidRDefault="0040534C" w:rsidP="0040534C">
      <w:pPr>
        <w:spacing w:after="120"/>
        <w:rPr>
          <w:noProof/>
          <w:sz w:val="22"/>
        </w:rPr>
      </w:pPr>
      <w:r w:rsidRPr="007C0AC2">
        <w:rPr>
          <w:noProof/>
          <w:sz w:val="22"/>
        </w:rPr>
        <w:t xml:space="preserve">CIReN (2026b), </w:t>
      </w:r>
      <w:r w:rsidRPr="007C0AC2">
        <w:rPr>
          <w:i/>
          <w:iCs/>
          <w:noProof/>
          <w:sz w:val="22"/>
        </w:rPr>
        <w:t>Republic of Cyprus Media Ownership 2024</w:t>
      </w:r>
      <w:r w:rsidRPr="007C0AC2">
        <w:rPr>
          <w:noProof/>
          <w:sz w:val="22"/>
        </w:rPr>
        <w:t>, 7 January 2026,</w:t>
      </w:r>
      <w:r w:rsidRPr="007C0AC2">
        <w:rPr>
          <w:b/>
          <w:bCs/>
          <w:noProof/>
          <w:sz w:val="22"/>
        </w:rPr>
        <w:t xml:space="preserve"> </w:t>
      </w:r>
      <w:hyperlink r:id="rId25" w:history="1">
        <w:r w:rsidRPr="007C0AC2">
          <w:rPr>
            <w:rStyle w:val="Hyperlink"/>
            <w:noProof/>
            <w:sz w:val="22"/>
          </w:rPr>
          <w:t>Republic of Cyprus Media Ownership 2024 - CIReN</w:t>
        </w:r>
      </w:hyperlink>
      <w:r w:rsidRPr="007C0AC2">
        <w:rPr>
          <w:noProof/>
          <w:sz w:val="22"/>
        </w:rPr>
        <w:t>.</w:t>
      </w:r>
    </w:p>
    <w:p w14:paraId="4752C8D7" w14:textId="77777777" w:rsidR="0040534C" w:rsidRDefault="0040534C" w:rsidP="0040534C">
      <w:pPr>
        <w:spacing w:after="120"/>
        <w:rPr>
          <w:noProof/>
          <w:sz w:val="22"/>
          <w:lang w:eastAsia="en-GB"/>
        </w:rPr>
      </w:pPr>
      <w:r w:rsidRPr="00FF78BF">
        <w:rPr>
          <w:noProof/>
          <w:sz w:val="22"/>
          <w:lang w:eastAsia="en-GB"/>
        </w:rPr>
        <w:t>Civicus (202</w:t>
      </w:r>
      <w:r>
        <w:rPr>
          <w:noProof/>
          <w:sz w:val="22"/>
          <w:lang w:eastAsia="en-GB"/>
        </w:rPr>
        <w:t>6</w:t>
      </w:r>
      <w:r w:rsidRPr="00FF78BF">
        <w:rPr>
          <w:noProof/>
          <w:sz w:val="22"/>
          <w:lang w:eastAsia="en-GB"/>
        </w:rPr>
        <w:t xml:space="preserve">), Monitor tracking civic space – Cyprus, </w:t>
      </w:r>
      <w:hyperlink r:id="rId26" w:history="1">
        <w:r w:rsidRPr="003B0818">
          <w:rPr>
            <w:rStyle w:val="Hyperlink"/>
            <w:noProof/>
            <w:sz w:val="22"/>
            <w:lang w:eastAsia="en-GB"/>
          </w:rPr>
          <w:t>https://monitor.civicus.org/country/cyprus/</w:t>
        </w:r>
      </w:hyperlink>
      <w:r w:rsidRPr="00FF78BF">
        <w:rPr>
          <w:noProof/>
          <w:sz w:val="22"/>
          <w:lang w:eastAsia="en-GB"/>
        </w:rPr>
        <w:t>.</w:t>
      </w:r>
    </w:p>
    <w:p w14:paraId="4DEFACD5" w14:textId="77777777" w:rsidR="0040534C" w:rsidRPr="00DB2941" w:rsidRDefault="0040534C" w:rsidP="0040534C">
      <w:pPr>
        <w:spacing w:after="120"/>
        <w:rPr>
          <w:noProof/>
          <w:sz w:val="22"/>
          <w:lang w:eastAsia="en-GB"/>
        </w:rPr>
      </w:pPr>
      <w:r w:rsidRPr="00DB2941">
        <w:rPr>
          <w:noProof/>
          <w:sz w:val="22"/>
          <w:lang w:eastAsia="en-GB"/>
        </w:rPr>
        <w:t>Council of Bars and Law Societies of Europe (CCBE) (202</w:t>
      </w:r>
      <w:r>
        <w:rPr>
          <w:noProof/>
          <w:sz w:val="22"/>
          <w:lang w:eastAsia="en-GB"/>
        </w:rPr>
        <w:t>6</w:t>
      </w:r>
      <w:r w:rsidRPr="00DB2941">
        <w:rPr>
          <w:noProof/>
          <w:sz w:val="22"/>
          <w:lang w:eastAsia="en-GB"/>
        </w:rPr>
        <w:t xml:space="preserve">), </w:t>
      </w:r>
      <w:r w:rsidRPr="00AE3432">
        <w:rPr>
          <w:i/>
          <w:iCs/>
          <w:noProof/>
          <w:sz w:val="22"/>
          <w:lang w:eastAsia="en-GB"/>
        </w:rPr>
        <w:t>Input for the 2026 Rule of Law Report</w:t>
      </w:r>
      <w:r w:rsidRPr="00DB2941">
        <w:rPr>
          <w:noProof/>
          <w:sz w:val="22"/>
          <w:lang w:eastAsia="en-GB"/>
        </w:rPr>
        <w:t>.</w:t>
      </w:r>
    </w:p>
    <w:p w14:paraId="7EC64137" w14:textId="7DBDE593" w:rsidR="0040534C" w:rsidRDefault="0040534C" w:rsidP="0040534C">
      <w:pPr>
        <w:spacing w:after="120"/>
        <w:rPr>
          <w:noProof/>
          <w:sz w:val="22"/>
        </w:rPr>
      </w:pPr>
      <w:r w:rsidRPr="00AE3432">
        <w:rPr>
          <w:noProof/>
          <w:sz w:val="22"/>
        </w:rPr>
        <w:t xml:space="preserve">Council of Europe: Committee of Ministers (2000), </w:t>
      </w:r>
      <w:r w:rsidRPr="007C6DA5">
        <w:rPr>
          <w:i/>
          <w:iCs/>
          <w:noProof/>
          <w:sz w:val="22"/>
        </w:rPr>
        <w:t>Recommendation CM/Rec(2000)19 of the Committee of Ministers of the Council of Europe on the role of public prosecution in the criminal justice system.</w:t>
      </w:r>
      <w:r>
        <w:rPr>
          <w:noProof/>
          <w:sz w:val="22"/>
        </w:rPr>
        <w:t xml:space="preserve"> </w:t>
      </w:r>
      <w:hyperlink r:id="rId27" w:history="1">
        <w:r w:rsidRPr="003B0818">
          <w:rPr>
            <w:rStyle w:val="Hyperlink"/>
            <w:noProof/>
            <w:sz w:val="22"/>
          </w:rPr>
          <w:t>https://search.coe.int/cm?i=09000016804be55a</w:t>
        </w:r>
      </w:hyperlink>
      <w:r w:rsidR="001365CB" w:rsidRPr="00DB2941">
        <w:rPr>
          <w:noProof/>
          <w:sz w:val="22"/>
          <w:lang w:eastAsia="en-GB"/>
        </w:rPr>
        <w:t>.</w:t>
      </w:r>
    </w:p>
    <w:p w14:paraId="16C0D305" w14:textId="746470FE" w:rsidR="0040534C" w:rsidRPr="00904BE2" w:rsidRDefault="0040534C" w:rsidP="0040534C">
      <w:pPr>
        <w:spacing w:after="120"/>
        <w:rPr>
          <w:noProof/>
        </w:rPr>
      </w:pPr>
      <w:r w:rsidRPr="00AE3432">
        <w:rPr>
          <w:noProof/>
          <w:sz w:val="22"/>
        </w:rPr>
        <w:t>Council of Europe: Committee of Ministers (20</w:t>
      </w:r>
      <w:r>
        <w:rPr>
          <w:noProof/>
          <w:sz w:val="22"/>
        </w:rPr>
        <w:t>1</w:t>
      </w:r>
      <w:r w:rsidRPr="00AE3432">
        <w:rPr>
          <w:noProof/>
          <w:sz w:val="22"/>
        </w:rPr>
        <w:t xml:space="preserve">0), </w:t>
      </w:r>
      <w:r w:rsidRPr="00965F6E">
        <w:rPr>
          <w:i/>
          <w:iCs/>
          <w:noProof/>
          <w:sz w:val="22"/>
          <w:lang w:val="en-IE" w:eastAsia="en-GB"/>
        </w:rPr>
        <w:t>Recommendation CM/Rec(2010)12 - of the Committee of Ministers to member states on judges: independence, efficiency and responsibilities.</w:t>
      </w:r>
      <w:r w:rsidRPr="00965F6E">
        <w:rPr>
          <w:noProof/>
          <w:sz w:val="22"/>
          <w:lang w:val="en-IE" w:eastAsia="en-GB"/>
        </w:rPr>
        <w:t xml:space="preserve"> </w:t>
      </w:r>
      <w:hyperlink r:id="rId28" w:history="1">
        <w:r w:rsidRPr="00904BE2">
          <w:rPr>
            <w:rStyle w:val="Hyperlink"/>
            <w:noProof/>
            <w:sz w:val="22"/>
            <w:lang w:val="en-IE" w:eastAsia="en-GB"/>
          </w:rPr>
          <w:t>https://search.coe.int/cm?i=09000016805afb78</w:t>
        </w:r>
      </w:hyperlink>
      <w:r w:rsidR="001365CB" w:rsidRPr="00DB2941">
        <w:rPr>
          <w:noProof/>
          <w:sz w:val="22"/>
          <w:lang w:eastAsia="en-GB"/>
        </w:rPr>
        <w:t>.</w:t>
      </w:r>
    </w:p>
    <w:p w14:paraId="7E6C19FD" w14:textId="77777777" w:rsidR="0040534C" w:rsidRPr="007C0AC2" w:rsidRDefault="0040534C" w:rsidP="0040534C">
      <w:pPr>
        <w:spacing w:after="120"/>
        <w:rPr>
          <w:noProof/>
          <w:sz w:val="22"/>
        </w:rPr>
      </w:pPr>
      <w:r w:rsidRPr="007C0AC2">
        <w:rPr>
          <w:noProof/>
          <w:sz w:val="22"/>
        </w:rPr>
        <w:t xml:space="preserve">Council of Europe, Platform to promote the protection of journalism and safety of journalists – Cyprus, </w:t>
      </w:r>
      <w:hyperlink r:id="rId29" w:anchor="search" w:history="1">
        <w:r w:rsidRPr="007C0AC2">
          <w:rPr>
            <w:rStyle w:val="Hyperlink"/>
            <w:noProof/>
            <w:sz w:val="22"/>
          </w:rPr>
          <w:t>Alerts | Safety of journalists platform</w:t>
        </w:r>
      </w:hyperlink>
      <w:r w:rsidRPr="007C0AC2">
        <w:rPr>
          <w:noProof/>
          <w:sz w:val="22"/>
        </w:rPr>
        <w:t>.</w:t>
      </w:r>
    </w:p>
    <w:p w14:paraId="142E0170" w14:textId="451A5141" w:rsidR="0040534C" w:rsidRDefault="0040534C" w:rsidP="0040534C">
      <w:pPr>
        <w:spacing w:after="120"/>
        <w:rPr>
          <w:noProof/>
          <w:sz w:val="22"/>
          <w:lang w:val="en-IE" w:eastAsia="en-GB"/>
        </w:rPr>
      </w:pPr>
      <w:r w:rsidRPr="00DB2941">
        <w:rPr>
          <w:noProof/>
          <w:sz w:val="22"/>
          <w:lang w:eastAsia="en-GB"/>
        </w:rPr>
        <w:t xml:space="preserve">Council of Europe: Venice Commission </w:t>
      </w:r>
      <w:r>
        <w:rPr>
          <w:noProof/>
          <w:sz w:val="22"/>
          <w:lang w:eastAsia="en-GB"/>
        </w:rPr>
        <w:t xml:space="preserve">(2007), </w:t>
      </w:r>
      <w:r w:rsidRPr="00965F6E">
        <w:rPr>
          <w:i/>
          <w:iCs/>
          <w:noProof/>
          <w:sz w:val="22"/>
          <w:lang w:eastAsia="en-GB"/>
        </w:rPr>
        <w:t>Report on Judicial Appointments (</w:t>
      </w:r>
      <w:r w:rsidRPr="00965F6E">
        <w:rPr>
          <w:i/>
          <w:iCs/>
          <w:noProof/>
          <w:sz w:val="22"/>
          <w:lang w:val="en-IE" w:eastAsia="en-GB"/>
        </w:rPr>
        <w:t>CDL-AD(2007)028)</w:t>
      </w:r>
      <w:r>
        <w:rPr>
          <w:i/>
          <w:iCs/>
          <w:noProof/>
          <w:sz w:val="22"/>
          <w:lang w:val="en-IE" w:eastAsia="en-GB"/>
        </w:rPr>
        <w:t>.</w:t>
      </w:r>
      <w:r w:rsidRPr="00965F6E">
        <w:rPr>
          <w:noProof/>
          <w:sz w:val="22"/>
          <w:lang w:val="en-IE" w:eastAsia="en-GB"/>
        </w:rPr>
        <w:t xml:space="preserve"> </w:t>
      </w:r>
      <w:hyperlink r:id="rId30" w:history="1">
        <w:r w:rsidRPr="003B0818">
          <w:rPr>
            <w:rStyle w:val="Hyperlink"/>
            <w:noProof/>
            <w:sz w:val="22"/>
            <w:lang w:val="en-IE" w:eastAsia="en-GB"/>
          </w:rPr>
          <w:t>https://www.coe.int/en/web/venice-commission/-/cdl-ad-2007-028-e</w:t>
        </w:r>
      </w:hyperlink>
      <w:r w:rsidR="001365CB" w:rsidRPr="00DB2941">
        <w:rPr>
          <w:noProof/>
          <w:sz w:val="22"/>
          <w:lang w:eastAsia="en-GB"/>
        </w:rPr>
        <w:t>.</w:t>
      </w:r>
    </w:p>
    <w:p w14:paraId="43F9E959" w14:textId="544315FC" w:rsidR="0040534C" w:rsidRDefault="0040534C" w:rsidP="0040534C">
      <w:pPr>
        <w:spacing w:after="120"/>
        <w:rPr>
          <w:noProof/>
          <w:sz w:val="22"/>
          <w:lang w:eastAsia="en-GB"/>
        </w:rPr>
      </w:pPr>
      <w:r w:rsidRPr="00DB2941">
        <w:rPr>
          <w:noProof/>
          <w:sz w:val="22"/>
          <w:lang w:eastAsia="en-GB"/>
        </w:rPr>
        <w:t xml:space="preserve">Council of Europe: Venice Commission (2010), </w:t>
      </w:r>
      <w:r w:rsidRPr="007C6DA5">
        <w:rPr>
          <w:i/>
          <w:iCs/>
          <w:noProof/>
          <w:sz w:val="22"/>
          <w:lang w:eastAsia="en-GB"/>
        </w:rPr>
        <w:t>Report on European Standards as regards the</w:t>
      </w:r>
      <w:r w:rsidRPr="007C6DA5">
        <w:rPr>
          <w:i/>
          <w:iCs/>
          <w:noProof/>
          <w:sz w:val="22"/>
        </w:rPr>
        <w:t xml:space="preserve"> </w:t>
      </w:r>
      <w:r w:rsidRPr="007C6DA5">
        <w:rPr>
          <w:i/>
          <w:iCs/>
          <w:noProof/>
          <w:sz w:val="22"/>
          <w:lang w:eastAsia="en-GB"/>
        </w:rPr>
        <w:t>independence of the judicial system: Part II- the prosecution service (CDL-AD(2010)040).</w:t>
      </w:r>
      <w:r>
        <w:rPr>
          <w:i/>
          <w:iCs/>
          <w:noProof/>
          <w:sz w:val="22"/>
          <w:lang w:eastAsia="en-GB"/>
        </w:rPr>
        <w:t xml:space="preserve"> </w:t>
      </w:r>
      <w:hyperlink r:id="rId31" w:history="1">
        <w:r w:rsidRPr="003B0818">
          <w:rPr>
            <w:rStyle w:val="Hyperlink"/>
            <w:noProof/>
            <w:sz w:val="22"/>
            <w:lang w:eastAsia="en-GB"/>
          </w:rPr>
          <w:t>https://www.venice.coe.int/webforms/documents/CDL-AD(2010)040.aspx</w:t>
        </w:r>
      </w:hyperlink>
      <w:r w:rsidR="001365CB" w:rsidRPr="00DB2941">
        <w:rPr>
          <w:noProof/>
          <w:sz w:val="22"/>
          <w:lang w:eastAsia="en-GB"/>
        </w:rPr>
        <w:t>.</w:t>
      </w:r>
    </w:p>
    <w:p w14:paraId="6579D5FE" w14:textId="61983ADA" w:rsidR="0040534C" w:rsidRDefault="0040534C" w:rsidP="0040534C">
      <w:pPr>
        <w:spacing w:after="120"/>
        <w:rPr>
          <w:noProof/>
          <w:sz w:val="22"/>
          <w:lang w:eastAsia="en-GB"/>
        </w:rPr>
      </w:pPr>
      <w:r w:rsidRPr="00DB2941">
        <w:rPr>
          <w:noProof/>
          <w:sz w:val="22"/>
          <w:lang w:eastAsia="en-GB"/>
        </w:rPr>
        <w:t xml:space="preserve">Council of Europe: Venice Commission (2018), </w:t>
      </w:r>
      <w:r w:rsidRPr="007C6DA5">
        <w:rPr>
          <w:i/>
          <w:iCs/>
          <w:noProof/>
          <w:sz w:val="22"/>
          <w:lang w:eastAsia="en-GB"/>
        </w:rPr>
        <w:t>Opinion on Constitutional arrangements and separation of powers and the independence of the judiciary and law enforcement (CDL- AD(2018)028-e).</w:t>
      </w:r>
      <w:r>
        <w:rPr>
          <w:i/>
          <w:iCs/>
          <w:noProof/>
          <w:sz w:val="22"/>
          <w:lang w:eastAsia="en-GB"/>
        </w:rPr>
        <w:t xml:space="preserve"> </w:t>
      </w:r>
      <w:hyperlink r:id="rId32" w:history="1">
        <w:r w:rsidRPr="003B0818">
          <w:rPr>
            <w:rStyle w:val="Hyperlink"/>
            <w:noProof/>
            <w:sz w:val="22"/>
            <w:lang w:eastAsia="en-GB"/>
          </w:rPr>
          <w:t>https://www.venice.coe.int/webforms/documents/?pdf=CDL-AD(2018)028-e</w:t>
        </w:r>
      </w:hyperlink>
      <w:r w:rsidR="001365CB" w:rsidRPr="00DB2941">
        <w:rPr>
          <w:noProof/>
          <w:sz w:val="22"/>
          <w:lang w:eastAsia="en-GB"/>
        </w:rPr>
        <w:t>.</w:t>
      </w:r>
    </w:p>
    <w:p w14:paraId="0E13693D" w14:textId="77777777" w:rsidR="0040534C" w:rsidRDefault="0040534C" w:rsidP="0040534C">
      <w:pPr>
        <w:spacing w:after="120"/>
        <w:rPr>
          <w:i/>
          <w:iCs/>
          <w:noProof/>
          <w:sz w:val="22"/>
          <w:lang w:eastAsia="en-GB"/>
        </w:rPr>
      </w:pPr>
      <w:r w:rsidRPr="003273B3">
        <w:rPr>
          <w:noProof/>
          <w:sz w:val="22"/>
          <w:lang w:eastAsia="en-GB"/>
        </w:rPr>
        <w:t>Cypriot Government (202</w:t>
      </w:r>
      <w:r>
        <w:rPr>
          <w:noProof/>
          <w:sz w:val="22"/>
          <w:lang w:eastAsia="en-GB"/>
        </w:rPr>
        <w:t>6</w:t>
      </w:r>
      <w:r w:rsidRPr="003273B3">
        <w:rPr>
          <w:noProof/>
          <w:sz w:val="22"/>
          <w:lang w:eastAsia="en-GB"/>
        </w:rPr>
        <w:t xml:space="preserve">), </w:t>
      </w:r>
      <w:r w:rsidRPr="007C6DA5">
        <w:rPr>
          <w:i/>
          <w:iCs/>
          <w:noProof/>
          <w:sz w:val="22"/>
          <w:lang w:eastAsia="en-GB"/>
        </w:rPr>
        <w:t>Input from Cyprus for the 2026 Rule of Law Report.</w:t>
      </w:r>
    </w:p>
    <w:p w14:paraId="19B8F538" w14:textId="77777777" w:rsidR="0040534C" w:rsidRDefault="0040534C" w:rsidP="0040534C">
      <w:pPr>
        <w:spacing w:after="120"/>
        <w:rPr>
          <w:i/>
          <w:iCs/>
          <w:noProof/>
          <w:sz w:val="22"/>
          <w:lang w:eastAsia="en-GB"/>
        </w:rPr>
      </w:pPr>
      <w:r w:rsidRPr="003273B3">
        <w:rPr>
          <w:noProof/>
          <w:sz w:val="22"/>
          <w:lang w:eastAsia="en-GB"/>
        </w:rPr>
        <w:t>Cypriot Government (202</w:t>
      </w:r>
      <w:r>
        <w:rPr>
          <w:noProof/>
          <w:sz w:val="22"/>
          <w:lang w:eastAsia="en-GB"/>
        </w:rPr>
        <w:t>6</w:t>
      </w:r>
      <w:r w:rsidRPr="003273B3">
        <w:rPr>
          <w:noProof/>
          <w:sz w:val="22"/>
          <w:lang w:eastAsia="en-GB"/>
        </w:rPr>
        <w:t xml:space="preserve">), </w:t>
      </w:r>
      <w:r>
        <w:rPr>
          <w:i/>
          <w:iCs/>
          <w:noProof/>
          <w:sz w:val="22"/>
          <w:lang w:eastAsia="en-GB"/>
        </w:rPr>
        <w:t>Annex to the i</w:t>
      </w:r>
      <w:r w:rsidRPr="007C6DA5">
        <w:rPr>
          <w:i/>
          <w:iCs/>
          <w:noProof/>
          <w:sz w:val="22"/>
          <w:lang w:eastAsia="en-GB"/>
        </w:rPr>
        <w:t>nput from Cyprus for the 2026 Rule of Law Report.</w:t>
      </w:r>
    </w:p>
    <w:p w14:paraId="67A437B0" w14:textId="77777777" w:rsidR="0040534C" w:rsidRDefault="0040534C" w:rsidP="0040534C">
      <w:pPr>
        <w:spacing w:after="120"/>
        <w:rPr>
          <w:noProof/>
          <w:sz w:val="22"/>
          <w:lang w:eastAsia="en-GB"/>
        </w:rPr>
      </w:pPr>
      <w:r w:rsidRPr="003273B3">
        <w:rPr>
          <w:noProof/>
          <w:sz w:val="22"/>
          <w:lang w:eastAsia="en-GB"/>
        </w:rPr>
        <w:t>Cypriot Government (202</w:t>
      </w:r>
      <w:r>
        <w:rPr>
          <w:noProof/>
          <w:sz w:val="22"/>
          <w:lang w:eastAsia="en-GB"/>
        </w:rPr>
        <w:t>6a</w:t>
      </w:r>
      <w:r w:rsidRPr="003273B3">
        <w:rPr>
          <w:noProof/>
          <w:sz w:val="22"/>
          <w:lang w:eastAsia="en-GB"/>
        </w:rPr>
        <w:t xml:space="preserve">), </w:t>
      </w:r>
      <w:r w:rsidRPr="007C6DA5">
        <w:rPr>
          <w:i/>
          <w:iCs/>
          <w:noProof/>
          <w:sz w:val="22"/>
          <w:lang w:eastAsia="en-GB"/>
        </w:rPr>
        <w:t>Additional written contribution for the 2026 Rule of Law Report</w:t>
      </w:r>
      <w:r w:rsidRPr="003273B3">
        <w:rPr>
          <w:noProof/>
          <w:sz w:val="22"/>
          <w:lang w:eastAsia="en-GB"/>
        </w:rPr>
        <w:t>.</w:t>
      </w:r>
    </w:p>
    <w:p w14:paraId="21F94CAE" w14:textId="77777777" w:rsidR="0040534C" w:rsidRDefault="0040534C" w:rsidP="0040534C">
      <w:pPr>
        <w:spacing w:after="120"/>
        <w:rPr>
          <w:noProof/>
          <w:sz w:val="22"/>
          <w:lang w:eastAsia="en-GB"/>
        </w:rPr>
      </w:pPr>
      <w:r w:rsidRPr="003273B3">
        <w:rPr>
          <w:noProof/>
          <w:sz w:val="22"/>
          <w:lang w:eastAsia="en-GB"/>
        </w:rPr>
        <w:t>Cypriot Government (202</w:t>
      </w:r>
      <w:r>
        <w:rPr>
          <w:noProof/>
          <w:sz w:val="22"/>
          <w:lang w:eastAsia="en-GB"/>
        </w:rPr>
        <w:t>6b</w:t>
      </w:r>
      <w:r w:rsidRPr="003273B3">
        <w:rPr>
          <w:noProof/>
          <w:sz w:val="22"/>
          <w:lang w:eastAsia="en-GB"/>
        </w:rPr>
        <w:t xml:space="preserve">), </w:t>
      </w:r>
      <w:r w:rsidRPr="007C6DA5">
        <w:rPr>
          <w:i/>
          <w:iCs/>
          <w:noProof/>
          <w:sz w:val="22"/>
          <w:lang w:eastAsia="en-GB"/>
        </w:rPr>
        <w:t>Additional written contribution for the 2026 Rule of Law Report</w:t>
      </w:r>
      <w:r w:rsidRPr="003273B3">
        <w:rPr>
          <w:noProof/>
          <w:sz w:val="22"/>
          <w:lang w:eastAsia="en-GB"/>
        </w:rPr>
        <w:t>.</w:t>
      </w:r>
    </w:p>
    <w:p w14:paraId="6F959DCB" w14:textId="149C79F5" w:rsidR="000E6DDB" w:rsidRDefault="000E6DDB" w:rsidP="000E6DDB">
      <w:pPr>
        <w:spacing w:after="120"/>
        <w:rPr>
          <w:noProof/>
          <w:sz w:val="22"/>
          <w:lang w:eastAsia="en-GB"/>
        </w:rPr>
      </w:pPr>
      <w:r w:rsidRPr="003273B3">
        <w:rPr>
          <w:noProof/>
          <w:sz w:val="22"/>
          <w:lang w:eastAsia="en-GB"/>
        </w:rPr>
        <w:t>Cypriot Government (202</w:t>
      </w:r>
      <w:r>
        <w:rPr>
          <w:noProof/>
          <w:sz w:val="22"/>
          <w:lang w:eastAsia="en-GB"/>
        </w:rPr>
        <w:t>6c</w:t>
      </w:r>
      <w:r w:rsidRPr="003273B3">
        <w:rPr>
          <w:noProof/>
          <w:sz w:val="22"/>
          <w:lang w:eastAsia="en-GB"/>
        </w:rPr>
        <w:t xml:space="preserve">), </w:t>
      </w:r>
      <w:r w:rsidRPr="007C6DA5">
        <w:rPr>
          <w:i/>
          <w:iCs/>
          <w:noProof/>
          <w:sz w:val="22"/>
          <w:lang w:eastAsia="en-GB"/>
        </w:rPr>
        <w:t xml:space="preserve">Additional </w:t>
      </w:r>
      <w:r>
        <w:rPr>
          <w:i/>
          <w:iCs/>
          <w:noProof/>
          <w:sz w:val="22"/>
          <w:lang w:eastAsia="en-GB"/>
        </w:rPr>
        <w:t>comments to</w:t>
      </w:r>
      <w:r w:rsidRPr="007C6DA5">
        <w:rPr>
          <w:i/>
          <w:iCs/>
          <w:noProof/>
          <w:sz w:val="22"/>
          <w:lang w:eastAsia="en-GB"/>
        </w:rPr>
        <w:t xml:space="preserve"> the 2026 Rule of Law Report</w:t>
      </w:r>
      <w:r w:rsidRPr="003273B3">
        <w:rPr>
          <w:noProof/>
          <w:sz w:val="22"/>
          <w:lang w:eastAsia="en-GB"/>
        </w:rPr>
        <w:t>.</w:t>
      </w:r>
    </w:p>
    <w:p w14:paraId="73FF7EB5" w14:textId="77777777" w:rsidR="0040534C" w:rsidRPr="007C6DA5" w:rsidRDefault="0040534C" w:rsidP="0040534C">
      <w:pPr>
        <w:spacing w:after="120"/>
        <w:rPr>
          <w:i/>
          <w:iCs/>
          <w:noProof/>
          <w:sz w:val="22"/>
          <w:lang w:eastAsia="en-GB"/>
        </w:rPr>
      </w:pPr>
      <w:r w:rsidRPr="003273B3">
        <w:rPr>
          <w:noProof/>
          <w:sz w:val="22"/>
          <w:lang w:eastAsia="en-GB"/>
        </w:rPr>
        <w:t>Cyprus Bar Association (202</w:t>
      </w:r>
      <w:r>
        <w:rPr>
          <w:noProof/>
          <w:sz w:val="22"/>
          <w:lang w:eastAsia="en-GB"/>
        </w:rPr>
        <w:t>6a</w:t>
      </w:r>
      <w:r w:rsidRPr="003273B3">
        <w:rPr>
          <w:noProof/>
          <w:sz w:val="22"/>
          <w:lang w:eastAsia="en-GB"/>
        </w:rPr>
        <w:t xml:space="preserve">), </w:t>
      </w:r>
      <w:r w:rsidRPr="007C6DA5">
        <w:rPr>
          <w:i/>
          <w:iCs/>
          <w:noProof/>
          <w:sz w:val="22"/>
          <w:lang w:eastAsia="en-GB"/>
        </w:rPr>
        <w:t>Written input for the 2026 Rule of Law Report in the context of the country visit to Cyprus.</w:t>
      </w:r>
    </w:p>
    <w:p w14:paraId="2BACDB3E" w14:textId="77777777" w:rsidR="0040534C" w:rsidRDefault="0040534C" w:rsidP="0040534C">
      <w:pPr>
        <w:spacing w:after="120"/>
        <w:rPr>
          <w:i/>
          <w:noProof/>
          <w:sz w:val="22"/>
          <w:lang w:val="en-IE" w:eastAsia="en-GB"/>
        </w:rPr>
      </w:pPr>
      <w:r w:rsidRPr="003273B3">
        <w:rPr>
          <w:noProof/>
          <w:sz w:val="22"/>
          <w:lang w:eastAsia="en-GB"/>
        </w:rPr>
        <w:t>Cyprus Bar Association (202</w:t>
      </w:r>
      <w:r>
        <w:rPr>
          <w:noProof/>
          <w:sz w:val="22"/>
          <w:lang w:eastAsia="en-GB"/>
        </w:rPr>
        <w:t>6b</w:t>
      </w:r>
      <w:r w:rsidRPr="003273B3">
        <w:rPr>
          <w:noProof/>
          <w:sz w:val="22"/>
          <w:lang w:eastAsia="en-GB"/>
        </w:rPr>
        <w:t xml:space="preserve">), </w:t>
      </w:r>
      <w:r w:rsidRPr="007C6DA5">
        <w:rPr>
          <w:bCs/>
          <w:i/>
          <w:iCs/>
          <w:noProof/>
          <w:sz w:val="22"/>
          <w:lang w:val="en-IE" w:eastAsia="en-GB"/>
        </w:rPr>
        <w:t>Statement of 9 February 2026.</w:t>
      </w:r>
    </w:p>
    <w:p w14:paraId="2163AC2C" w14:textId="7E153930" w:rsidR="0040534C" w:rsidRDefault="0040534C" w:rsidP="0040534C">
      <w:pPr>
        <w:spacing w:after="120"/>
        <w:rPr>
          <w:noProof/>
        </w:rPr>
      </w:pPr>
      <w:r w:rsidRPr="007C0AC2">
        <w:rPr>
          <w:iCs/>
          <w:noProof/>
          <w:sz w:val="22"/>
          <w:lang w:eastAsia="en-GB"/>
        </w:rPr>
        <w:t>Cyprus Mail</w:t>
      </w:r>
      <w:r>
        <w:rPr>
          <w:iCs/>
          <w:noProof/>
          <w:sz w:val="22"/>
          <w:lang w:eastAsia="en-GB"/>
        </w:rPr>
        <w:t xml:space="preserve"> (</w:t>
      </w:r>
      <w:r w:rsidRPr="007C0AC2">
        <w:rPr>
          <w:iCs/>
          <w:noProof/>
          <w:sz w:val="22"/>
          <w:lang w:eastAsia="en-GB"/>
        </w:rPr>
        <w:t>2026</w:t>
      </w:r>
      <w:r>
        <w:rPr>
          <w:iCs/>
          <w:noProof/>
          <w:sz w:val="22"/>
          <w:lang w:eastAsia="en-GB"/>
        </w:rPr>
        <w:t>)</w:t>
      </w:r>
      <w:r w:rsidRPr="007C0AC2">
        <w:rPr>
          <w:iCs/>
          <w:noProof/>
          <w:sz w:val="22"/>
          <w:lang w:eastAsia="en-GB"/>
        </w:rPr>
        <w:t>,</w:t>
      </w:r>
      <w:r>
        <w:rPr>
          <w:iCs/>
          <w:noProof/>
          <w:sz w:val="22"/>
          <w:lang w:eastAsia="en-GB"/>
        </w:rPr>
        <w:t xml:space="preserve"> </w:t>
      </w:r>
      <w:r w:rsidRPr="006E51BC">
        <w:rPr>
          <w:iCs/>
          <w:noProof/>
          <w:sz w:val="22"/>
          <w:lang w:eastAsia="en-GB"/>
        </w:rPr>
        <w:t>€</w:t>
      </w:r>
      <w:r w:rsidRPr="00C25584">
        <w:rPr>
          <w:i/>
          <w:noProof/>
          <w:sz w:val="22"/>
          <w:lang w:eastAsia="en-GB"/>
        </w:rPr>
        <w:t>7</w:t>
      </w:r>
      <w:r>
        <w:rPr>
          <w:i/>
          <w:noProof/>
          <w:sz w:val="22"/>
          <w:lang w:eastAsia="en-GB"/>
        </w:rPr>
        <w:t xml:space="preserve"> </w:t>
      </w:r>
      <w:r w:rsidRPr="00C25584">
        <w:rPr>
          <w:i/>
          <w:noProof/>
          <w:sz w:val="22"/>
          <w:lang w:eastAsia="en-GB"/>
        </w:rPr>
        <w:t>million</w:t>
      </w:r>
      <w:r>
        <w:rPr>
          <w:i/>
          <w:noProof/>
          <w:sz w:val="22"/>
          <w:lang w:eastAsia="en-GB"/>
        </w:rPr>
        <w:t xml:space="preserve"> </w:t>
      </w:r>
      <w:r w:rsidRPr="00C25584">
        <w:rPr>
          <w:i/>
          <w:noProof/>
          <w:sz w:val="22"/>
          <w:lang w:eastAsia="en-GB"/>
        </w:rPr>
        <w:t>state</w:t>
      </w:r>
      <w:r>
        <w:rPr>
          <w:i/>
          <w:noProof/>
          <w:sz w:val="22"/>
          <w:lang w:eastAsia="en-GB"/>
        </w:rPr>
        <w:t xml:space="preserve"> </w:t>
      </w:r>
      <w:r w:rsidRPr="00C25584">
        <w:rPr>
          <w:i/>
          <w:noProof/>
          <w:sz w:val="22"/>
          <w:lang w:eastAsia="en-GB"/>
        </w:rPr>
        <w:t>grant</w:t>
      </w:r>
      <w:r>
        <w:rPr>
          <w:i/>
          <w:noProof/>
          <w:sz w:val="22"/>
          <w:lang w:eastAsia="en-GB"/>
        </w:rPr>
        <w:t xml:space="preserve"> </w:t>
      </w:r>
      <w:r w:rsidRPr="00C25584">
        <w:rPr>
          <w:i/>
          <w:noProof/>
          <w:sz w:val="22"/>
          <w:lang w:eastAsia="en-GB"/>
        </w:rPr>
        <w:t>released</w:t>
      </w:r>
      <w:r>
        <w:rPr>
          <w:i/>
          <w:noProof/>
          <w:sz w:val="22"/>
          <w:lang w:eastAsia="en-GB"/>
        </w:rPr>
        <w:t xml:space="preserve"> </w:t>
      </w:r>
      <w:r w:rsidRPr="00C25584">
        <w:rPr>
          <w:i/>
          <w:noProof/>
          <w:sz w:val="22"/>
          <w:lang w:eastAsia="en-GB"/>
        </w:rPr>
        <w:t>to</w:t>
      </w:r>
      <w:r>
        <w:rPr>
          <w:i/>
          <w:noProof/>
          <w:sz w:val="22"/>
          <w:lang w:eastAsia="en-GB"/>
        </w:rPr>
        <w:t xml:space="preserve"> </w:t>
      </w:r>
      <w:r w:rsidRPr="00C25584">
        <w:rPr>
          <w:i/>
          <w:noProof/>
          <w:sz w:val="22"/>
          <w:lang w:eastAsia="en-GB"/>
        </w:rPr>
        <w:t>parties</w:t>
      </w:r>
      <w:r>
        <w:rPr>
          <w:i/>
          <w:noProof/>
          <w:sz w:val="22"/>
          <w:lang w:eastAsia="en-GB"/>
        </w:rPr>
        <w:t xml:space="preserve"> </w:t>
      </w:r>
      <w:r w:rsidRPr="00C25584">
        <w:rPr>
          <w:i/>
          <w:noProof/>
          <w:sz w:val="22"/>
          <w:lang w:eastAsia="en-GB"/>
        </w:rPr>
        <w:t>ahead</w:t>
      </w:r>
      <w:r>
        <w:rPr>
          <w:i/>
          <w:noProof/>
          <w:sz w:val="22"/>
          <w:lang w:eastAsia="en-GB"/>
        </w:rPr>
        <w:t xml:space="preserve"> </w:t>
      </w:r>
      <w:r w:rsidRPr="00C25584">
        <w:rPr>
          <w:i/>
          <w:noProof/>
          <w:sz w:val="22"/>
          <w:lang w:eastAsia="en-GB"/>
        </w:rPr>
        <w:t>of</w:t>
      </w:r>
      <w:r>
        <w:rPr>
          <w:i/>
          <w:noProof/>
          <w:sz w:val="22"/>
          <w:lang w:eastAsia="en-GB"/>
        </w:rPr>
        <w:t xml:space="preserve"> M</w:t>
      </w:r>
      <w:r w:rsidRPr="00C25584">
        <w:rPr>
          <w:i/>
          <w:noProof/>
          <w:sz w:val="22"/>
          <w:lang w:eastAsia="en-GB"/>
        </w:rPr>
        <w:t>ay-elections</w:t>
      </w:r>
      <w:r>
        <w:rPr>
          <w:i/>
          <w:noProof/>
          <w:sz w:val="22"/>
          <w:lang w:eastAsia="en-GB"/>
        </w:rPr>
        <w:t>,</w:t>
      </w:r>
      <w:r w:rsidRPr="00C25584">
        <w:rPr>
          <w:iCs/>
          <w:noProof/>
        </w:rPr>
        <w:t xml:space="preserve"> </w:t>
      </w:r>
      <w:hyperlink r:id="rId33" w:history="1">
        <w:r w:rsidRPr="00384F41">
          <w:rPr>
            <w:rStyle w:val="Hyperlink"/>
            <w:i/>
            <w:noProof/>
            <w:sz w:val="22"/>
            <w:lang w:eastAsia="en-GB"/>
          </w:rPr>
          <w:t>https://cyprus-mail.com/2026/01/31/e7-million-state-grant-released-to-parties-ahead-of-may-elections</w:t>
        </w:r>
      </w:hyperlink>
      <w:r w:rsidR="001365CB" w:rsidRPr="00DB2941">
        <w:rPr>
          <w:noProof/>
          <w:sz w:val="22"/>
          <w:lang w:eastAsia="en-GB"/>
        </w:rPr>
        <w:t>.</w:t>
      </w:r>
    </w:p>
    <w:p w14:paraId="4C638A80" w14:textId="75C16241" w:rsidR="003E46A4" w:rsidRPr="00D23EAB" w:rsidRDefault="003E46A4" w:rsidP="0040534C">
      <w:pPr>
        <w:spacing w:after="120"/>
        <w:rPr>
          <w:i/>
          <w:noProof/>
          <w:sz w:val="22"/>
          <w:lang w:eastAsia="en-GB"/>
        </w:rPr>
      </w:pPr>
      <w:r w:rsidRPr="00D23EAB">
        <w:rPr>
          <w:noProof/>
          <w:sz w:val="22"/>
          <w:szCs w:val="22"/>
        </w:rPr>
        <w:t>Cyprus Mail (2026)</w:t>
      </w:r>
      <w:r w:rsidR="006B768C" w:rsidRPr="00D23EAB">
        <w:rPr>
          <w:noProof/>
          <w:sz w:val="22"/>
          <w:szCs w:val="22"/>
        </w:rPr>
        <w:t xml:space="preserve">, </w:t>
      </w:r>
      <w:r w:rsidR="009A3CAF" w:rsidRPr="00D23EAB">
        <w:rPr>
          <w:i/>
          <w:iCs/>
          <w:noProof/>
          <w:sz w:val="22"/>
          <w:szCs w:val="22"/>
        </w:rPr>
        <w:t>Govt scrambles to find Mafia State investigation team</w:t>
      </w:r>
      <w:r w:rsidR="00C62519" w:rsidRPr="00D23EAB">
        <w:rPr>
          <w:i/>
          <w:iCs/>
          <w:noProof/>
          <w:sz w:val="22"/>
          <w:szCs w:val="22"/>
        </w:rPr>
        <w:t>,</w:t>
      </w:r>
      <w:r w:rsidR="006B768C" w:rsidRPr="00D23EAB">
        <w:rPr>
          <w:i/>
          <w:iCs/>
          <w:noProof/>
          <w:sz w:val="22"/>
          <w:szCs w:val="22"/>
        </w:rPr>
        <w:t xml:space="preserve"> https://cyprus-mail.com/2026/06/26/govt-scrambles-to-find-mafia-state-investigation-team</w:t>
      </w:r>
    </w:p>
    <w:p w14:paraId="71835463" w14:textId="77777777" w:rsidR="0040534C" w:rsidRPr="007C0AC2" w:rsidRDefault="0040534C" w:rsidP="0040534C">
      <w:pPr>
        <w:spacing w:after="120"/>
        <w:rPr>
          <w:i/>
          <w:iCs/>
          <w:noProof/>
          <w:sz w:val="22"/>
        </w:rPr>
      </w:pPr>
      <w:r>
        <w:rPr>
          <w:noProof/>
          <w:sz w:val="22"/>
        </w:rPr>
        <w:t xml:space="preserve">European Association of Judges (2026), </w:t>
      </w:r>
      <w:r w:rsidRPr="007C0AC2">
        <w:rPr>
          <w:i/>
          <w:iCs/>
          <w:noProof/>
          <w:sz w:val="22"/>
        </w:rPr>
        <w:t>Input for the 2026 Rule of Law Report.</w:t>
      </w:r>
    </w:p>
    <w:p w14:paraId="564950F3" w14:textId="77777777" w:rsidR="0040534C" w:rsidRPr="007C0AC2" w:rsidRDefault="0040534C" w:rsidP="0040534C">
      <w:pPr>
        <w:spacing w:after="120"/>
        <w:rPr>
          <w:noProof/>
          <w:sz w:val="22"/>
        </w:rPr>
      </w:pPr>
      <w:r w:rsidRPr="007C0AC2">
        <w:rPr>
          <w:noProof/>
          <w:sz w:val="22"/>
        </w:rPr>
        <w:t xml:space="preserve">European Centre for Press and Media Freedom, Media Freedom Rapid Response – Cyprus, </w:t>
      </w:r>
      <w:hyperlink r:id="rId34" w:history="1">
        <w:r w:rsidRPr="007C0AC2">
          <w:rPr>
            <w:rStyle w:val="Hyperlink"/>
            <w:noProof/>
            <w:sz w:val="22"/>
          </w:rPr>
          <w:t>Press Freedom Violations Monitoring</w:t>
        </w:r>
      </w:hyperlink>
      <w:r w:rsidRPr="007C0AC2">
        <w:rPr>
          <w:noProof/>
          <w:sz w:val="22"/>
        </w:rPr>
        <w:t>.</w:t>
      </w:r>
    </w:p>
    <w:p w14:paraId="55B36533" w14:textId="77777777" w:rsidR="0040534C" w:rsidRPr="00A14B64" w:rsidRDefault="0040534C" w:rsidP="0040534C">
      <w:pPr>
        <w:spacing w:after="120"/>
        <w:rPr>
          <w:i/>
          <w:iCs/>
          <w:noProof/>
          <w:sz w:val="22"/>
          <w:lang w:val="en-IE" w:eastAsia="en-GB"/>
        </w:rPr>
      </w:pPr>
      <w:r w:rsidRPr="00A14B64">
        <w:rPr>
          <w:noProof/>
          <w:sz w:val="22"/>
          <w:lang w:val="en-IE" w:eastAsia="en-GB"/>
        </w:rPr>
        <w:t xml:space="preserve">European Commission (2023), </w:t>
      </w:r>
      <w:r w:rsidRPr="00A14B64">
        <w:rPr>
          <w:i/>
          <w:iCs/>
          <w:noProof/>
          <w:sz w:val="22"/>
          <w:lang w:val="en-IE" w:eastAsia="en-GB"/>
        </w:rPr>
        <w:t>2023 Rule of Law Report, Country Chapter on the rule of law situation</w:t>
      </w:r>
      <w:r>
        <w:rPr>
          <w:i/>
          <w:iCs/>
          <w:noProof/>
          <w:sz w:val="22"/>
          <w:lang w:val="en-IE" w:eastAsia="en-GB"/>
        </w:rPr>
        <w:t xml:space="preserve"> </w:t>
      </w:r>
      <w:r w:rsidRPr="00A14B64">
        <w:rPr>
          <w:i/>
          <w:iCs/>
          <w:noProof/>
          <w:sz w:val="22"/>
          <w:lang w:val="en-IE" w:eastAsia="en-GB"/>
        </w:rPr>
        <w:t xml:space="preserve">in </w:t>
      </w:r>
      <w:r>
        <w:rPr>
          <w:i/>
          <w:iCs/>
          <w:noProof/>
          <w:sz w:val="22"/>
          <w:lang w:val="en-IE" w:eastAsia="en-GB"/>
        </w:rPr>
        <w:t>Cyprus</w:t>
      </w:r>
      <w:r w:rsidRPr="00A14B64">
        <w:rPr>
          <w:i/>
          <w:iCs/>
          <w:noProof/>
          <w:sz w:val="22"/>
          <w:lang w:val="en-IE" w:eastAsia="en-GB"/>
        </w:rPr>
        <w:t>.</w:t>
      </w:r>
    </w:p>
    <w:p w14:paraId="5E3E3715" w14:textId="77777777" w:rsidR="0040534C" w:rsidRPr="00A14B64" w:rsidRDefault="0040534C" w:rsidP="0040534C">
      <w:pPr>
        <w:spacing w:after="120"/>
        <w:rPr>
          <w:noProof/>
          <w:sz w:val="22"/>
          <w:lang w:val="en-IE" w:eastAsia="en-GB"/>
        </w:rPr>
      </w:pPr>
      <w:r w:rsidRPr="00A14B64">
        <w:rPr>
          <w:noProof/>
          <w:sz w:val="22"/>
          <w:lang w:val="en-IE" w:eastAsia="en-GB"/>
        </w:rPr>
        <w:t xml:space="preserve">European Commission (2024), </w:t>
      </w:r>
      <w:r w:rsidRPr="00A14B64">
        <w:rPr>
          <w:i/>
          <w:iCs/>
          <w:noProof/>
          <w:sz w:val="22"/>
          <w:lang w:val="en-IE" w:eastAsia="en-GB"/>
        </w:rPr>
        <w:t xml:space="preserve">2024 Rule of Law report, Country Chapter on the rule of law situation in </w:t>
      </w:r>
      <w:r>
        <w:rPr>
          <w:i/>
          <w:iCs/>
          <w:noProof/>
          <w:sz w:val="22"/>
          <w:lang w:val="en-IE" w:eastAsia="en-GB"/>
        </w:rPr>
        <w:t>Cyprus</w:t>
      </w:r>
      <w:r w:rsidRPr="00A14B64">
        <w:rPr>
          <w:i/>
          <w:iCs/>
          <w:noProof/>
          <w:sz w:val="22"/>
          <w:lang w:val="en-IE" w:eastAsia="en-GB"/>
        </w:rPr>
        <w:t>.</w:t>
      </w:r>
    </w:p>
    <w:p w14:paraId="13D40D81" w14:textId="77777777" w:rsidR="0040534C" w:rsidRPr="009F4A52" w:rsidRDefault="0040534C" w:rsidP="0040534C">
      <w:pPr>
        <w:spacing w:after="120"/>
        <w:rPr>
          <w:i/>
          <w:iCs/>
          <w:noProof/>
          <w:sz w:val="22"/>
          <w:lang w:val="en-IE" w:eastAsia="en-GB"/>
        </w:rPr>
      </w:pPr>
      <w:r w:rsidRPr="00A14B64">
        <w:rPr>
          <w:noProof/>
          <w:sz w:val="22"/>
          <w:lang w:val="en-IE" w:eastAsia="en-GB"/>
        </w:rPr>
        <w:t>European Commission (202</w:t>
      </w:r>
      <w:r>
        <w:rPr>
          <w:noProof/>
          <w:sz w:val="22"/>
          <w:lang w:val="en-IE" w:eastAsia="en-GB"/>
        </w:rPr>
        <w:t>5</w:t>
      </w:r>
      <w:r w:rsidRPr="00A14B64">
        <w:rPr>
          <w:noProof/>
          <w:sz w:val="22"/>
          <w:lang w:val="en-IE" w:eastAsia="en-GB"/>
        </w:rPr>
        <w:t xml:space="preserve">), </w:t>
      </w:r>
      <w:r w:rsidRPr="00A14B64">
        <w:rPr>
          <w:i/>
          <w:iCs/>
          <w:noProof/>
          <w:sz w:val="22"/>
          <w:lang w:val="en-IE" w:eastAsia="en-GB"/>
        </w:rPr>
        <w:t>202</w:t>
      </w:r>
      <w:r>
        <w:rPr>
          <w:i/>
          <w:iCs/>
          <w:noProof/>
          <w:sz w:val="22"/>
          <w:lang w:val="en-IE" w:eastAsia="en-GB"/>
        </w:rPr>
        <w:t>5</w:t>
      </w:r>
      <w:r w:rsidRPr="00A14B64">
        <w:rPr>
          <w:i/>
          <w:iCs/>
          <w:noProof/>
          <w:sz w:val="22"/>
          <w:lang w:val="en-IE" w:eastAsia="en-GB"/>
        </w:rPr>
        <w:t xml:space="preserve"> </w:t>
      </w:r>
      <w:r w:rsidRPr="009F4A52">
        <w:rPr>
          <w:i/>
          <w:iCs/>
          <w:noProof/>
          <w:sz w:val="22"/>
          <w:lang w:val="en-IE" w:eastAsia="en-GB"/>
        </w:rPr>
        <w:t>Rule of Law Report, Country Chapter on the rule of law situation in Cyprus.</w:t>
      </w:r>
    </w:p>
    <w:p w14:paraId="4916BE6B" w14:textId="77777777" w:rsidR="0040534C" w:rsidRPr="009F4A52" w:rsidRDefault="0040534C" w:rsidP="0040534C">
      <w:pPr>
        <w:spacing w:after="120"/>
        <w:rPr>
          <w:noProof/>
          <w:sz w:val="22"/>
          <w:lang w:val="en-IE" w:eastAsia="en-GB"/>
        </w:rPr>
      </w:pPr>
      <w:r w:rsidRPr="009F4A52">
        <w:rPr>
          <w:noProof/>
          <w:sz w:val="22"/>
          <w:lang w:val="en-IE" w:eastAsia="en-GB"/>
        </w:rPr>
        <w:t xml:space="preserve">European Commission (2025), </w:t>
      </w:r>
      <w:r w:rsidRPr="009F4A52">
        <w:rPr>
          <w:i/>
          <w:iCs/>
          <w:noProof/>
          <w:sz w:val="22"/>
          <w:lang w:val="en-IE" w:eastAsia="en-GB"/>
        </w:rPr>
        <w:t>EU Justice Scoreboard</w:t>
      </w:r>
      <w:r w:rsidRPr="009F4A52">
        <w:rPr>
          <w:noProof/>
          <w:sz w:val="22"/>
          <w:lang w:val="en-IE" w:eastAsia="en-GB"/>
        </w:rPr>
        <w:t>.</w:t>
      </w:r>
    </w:p>
    <w:p w14:paraId="0893DD53" w14:textId="77777777" w:rsidR="0040534C" w:rsidRPr="009F4A52" w:rsidRDefault="0040534C" w:rsidP="0040534C">
      <w:pPr>
        <w:widowControl w:val="0"/>
        <w:spacing w:after="120"/>
        <w:rPr>
          <w:noProof/>
          <w:sz w:val="22"/>
          <w:lang w:eastAsia="en-GB"/>
        </w:rPr>
      </w:pPr>
      <w:r w:rsidRPr="009F4A52">
        <w:rPr>
          <w:noProof/>
          <w:sz w:val="22"/>
          <w:lang w:val="en-IE" w:eastAsia="en-GB"/>
        </w:rPr>
        <w:t>European Commission</w:t>
      </w:r>
      <w:r w:rsidRPr="009F4A52">
        <w:rPr>
          <w:noProof/>
          <w:sz w:val="22"/>
          <w:lang w:eastAsia="en-GB"/>
        </w:rPr>
        <w:t xml:space="preserve"> (2026), Flash Eurobarometer 582 on businesses’ attitudes towards corruption in the EU. </w:t>
      </w:r>
    </w:p>
    <w:p w14:paraId="2B9E7373" w14:textId="77777777" w:rsidR="0040534C" w:rsidRPr="009F4A52" w:rsidRDefault="0040534C" w:rsidP="0040534C">
      <w:pPr>
        <w:widowControl w:val="0"/>
        <w:spacing w:after="120"/>
        <w:rPr>
          <w:noProof/>
          <w:sz w:val="22"/>
          <w:lang w:eastAsia="en-GB"/>
        </w:rPr>
      </w:pPr>
      <w:r w:rsidRPr="009F4A52">
        <w:rPr>
          <w:noProof/>
          <w:sz w:val="22"/>
          <w:lang w:val="en-IE" w:eastAsia="en-GB"/>
        </w:rPr>
        <w:t>European Commission</w:t>
      </w:r>
      <w:r w:rsidRPr="009F4A52">
        <w:rPr>
          <w:noProof/>
          <w:sz w:val="22"/>
          <w:lang w:eastAsia="en-GB"/>
        </w:rPr>
        <w:t xml:space="preserve"> (2026), Special Eurobarometer 573 on citizens’ attitudes towards corruption in the EU.</w:t>
      </w:r>
    </w:p>
    <w:p w14:paraId="78BFC263" w14:textId="77777777" w:rsidR="0040534C" w:rsidRPr="009F4A52" w:rsidRDefault="0040534C" w:rsidP="0040534C">
      <w:pPr>
        <w:spacing w:after="120"/>
        <w:rPr>
          <w:i/>
          <w:iCs/>
          <w:noProof/>
          <w:sz w:val="22"/>
          <w:lang w:val="en-IE" w:eastAsia="en-GB"/>
        </w:rPr>
      </w:pPr>
      <w:r w:rsidRPr="009F4A52">
        <w:rPr>
          <w:noProof/>
          <w:sz w:val="22"/>
          <w:lang w:val="en-IE" w:eastAsia="en-GB"/>
        </w:rPr>
        <w:t xml:space="preserve">European Commission (2026), </w:t>
      </w:r>
      <w:r w:rsidRPr="009F4A52">
        <w:rPr>
          <w:i/>
          <w:iCs/>
          <w:noProof/>
          <w:sz w:val="22"/>
          <w:lang w:val="en-IE" w:eastAsia="en-GB"/>
        </w:rPr>
        <w:t xml:space="preserve">2026 Country Report – Cyprus, Accompanying the document Recommendation for a Council Recommendation on the economic, social, employment, structural and budgetary policies of </w:t>
      </w:r>
      <w:r>
        <w:rPr>
          <w:i/>
          <w:iCs/>
          <w:noProof/>
          <w:sz w:val="22"/>
          <w:lang w:val="en-IE" w:eastAsia="en-GB"/>
        </w:rPr>
        <w:t>Cyprus</w:t>
      </w:r>
      <w:r w:rsidRPr="009F4A52">
        <w:rPr>
          <w:i/>
          <w:iCs/>
          <w:noProof/>
          <w:sz w:val="22"/>
          <w:lang w:val="en-IE" w:eastAsia="en-GB"/>
        </w:rPr>
        <w:t>.</w:t>
      </w:r>
    </w:p>
    <w:p w14:paraId="6F915855" w14:textId="77777777" w:rsidR="0040534C" w:rsidRPr="009F4A52" w:rsidRDefault="0040534C" w:rsidP="0040534C">
      <w:pPr>
        <w:spacing w:after="120"/>
        <w:rPr>
          <w:noProof/>
          <w:sz w:val="22"/>
          <w:lang w:val="en-IE" w:eastAsia="en-GB"/>
        </w:rPr>
      </w:pPr>
      <w:r w:rsidRPr="009F4A52">
        <w:rPr>
          <w:noProof/>
          <w:sz w:val="22"/>
          <w:lang w:val="en-IE" w:eastAsia="en-GB"/>
        </w:rPr>
        <w:t xml:space="preserve">European Commission (2026), </w:t>
      </w:r>
      <w:r w:rsidRPr="009F4A52">
        <w:rPr>
          <w:i/>
          <w:iCs/>
          <w:noProof/>
          <w:sz w:val="22"/>
          <w:lang w:val="en-IE" w:eastAsia="en-GB"/>
        </w:rPr>
        <w:t>EU Justice Scoreboard.</w:t>
      </w:r>
    </w:p>
    <w:p w14:paraId="35F6A533" w14:textId="77777777" w:rsidR="0040534C" w:rsidRPr="009F4A52" w:rsidRDefault="0040534C" w:rsidP="0040534C">
      <w:pPr>
        <w:spacing w:after="120"/>
        <w:rPr>
          <w:noProof/>
          <w:sz w:val="22"/>
          <w:lang w:val="en-IE" w:eastAsia="en-GB"/>
        </w:rPr>
      </w:pPr>
      <w:r w:rsidRPr="009F4A52">
        <w:rPr>
          <w:noProof/>
          <w:sz w:val="22"/>
          <w:lang w:val="en-IE" w:eastAsia="en-GB"/>
        </w:rPr>
        <w:t xml:space="preserve">EU Agency for Fundamental Rights (2026), </w:t>
      </w:r>
      <w:r w:rsidRPr="009F4A52">
        <w:rPr>
          <w:i/>
          <w:iCs/>
          <w:noProof/>
          <w:sz w:val="22"/>
          <w:lang w:val="en-IE" w:eastAsia="en-GB"/>
        </w:rPr>
        <w:t>Input for the 2026 Rule of Law Report, Cyprus</w:t>
      </w:r>
      <w:r w:rsidRPr="009F4A52">
        <w:rPr>
          <w:noProof/>
          <w:sz w:val="22"/>
          <w:lang w:val="en-IE" w:eastAsia="en-GB"/>
        </w:rPr>
        <w:t xml:space="preserve">. </w:t>
      </w:r>
    </w:p>
    <w:p w14:paraId="522C53CB" w14:textId="77777777" w:rsidR="0040534C" w:rsidRPr="009F4A52" w:rsidRDefault="0040534C" w:rsidP="0040534C">
      <w:pPr>
        <w:spacing w:after="120"/>
        <w:rPr>
          <w:i/>
          <w:iCs/>
          <w:noProof/>
          <w:sz w:val="22"/>
          <w:lang w:val="en-IE" w:eastAsia="en-GB"/>
        </w:rPr>
      </w:pPr>
      <w:r w:rsidRPr="009F4A52">
        <w:rPr>
          <w:noProof/>
          <w:sz w:val="22"/>
          <w:lang w:val="en-IE" w:eastAsia="en-GB"/>
        </w:rPr>
        <w:t xml:space="preserve">European Implementation Network (2026), </w:t>
      </w:r>
      <w:r w:rsidRPr="009F4A52">
        <w:rPr>
          <w:i/>
          <w:iCs/>
          <w:noProof/>
          <w:sz w:val="22"/>
          <w:lang w:val="en-IE" w:eastAsia="en-GB"/>
        </w:rPr>
        <w:t>Input for the 2026 Rule of Law Report.</w:t>
      </w:r>
    </w:p>
    <w:p w14:paraId="09976A6A" w14:textId="3FC39B55" w:rsidR="0040534C" w:rsidRPr="009F4A52" w:rsidRDefault="0040534C" w:rsidP="0040534C">
      <w:pPr>
        <w:spacing w:after="120"/>
        <w:rPr>
          <w:noProof/>
          <w:sz w:val="22"/>
          <w:lang w:val="en-IE" w:eastAsia="en-GB"/>
        </w:rPr>
      </w:pPr>
      <w:r w:rsidRPr="009F4A52">
        <w:rPr>
          <w:noProof/>
          <w:sz w:val="22"/>
          <w:lang w:val="en-IE" w:eastAsia="en-GB"/>
        </w:rPr>
        <w:t xml:space="preserve">European Network of Councils for the Judiciary (2025), </w:t>
      </w:r>
      <w:r w:rsidRPr="009F4A52">
        <w:rPr>
          <w:i/>
          <w:iCs/>
          <w:noProof/>
          <w:sz w:val="22"/>
          <w:lang w:val="en-IE" w:eastAsia="en-GB"/>
        </w:rPr>
        <w:t>Survey among judges on the Independence of the Judiciary</w:t>
      </w:r>
      <w:r w:rsidRPr="009F4A52">
        <w:rPr>
          <w:noProof/>
          <w:sz w:val="22"/>
          <w:lang w:val="en-IE" w:eastAsia="en-GB"/>
        </w:rPr>
        <w:t xml:space="preserve">, </w:t>
      </w:r>
      <w:hyperlink r:id="rId35" w:history="1">
        <w:r w:rsidRPr="009F4A52">
          <w:rPr>
            <w:rStyle w:val="Hyperlink"/>
            <w:noProof/>
            <w:sz w:val="22"/>
            <w:lang w:val="en-IE" w:eastAsia="en-GB"/>
          </w:rPr>
          <w:t>https://pgwrk-websitemedia.s3.eu-west-1.amazonaws.com/production/pwk-web-encj2017-p/Report%20ENCJ%20Survey%20on%20Independence-compressed_0.pdf</w:t>
        </w:r>
      </w:hyperlink>
      <w:r w:rsidR="001365CB" w:rsidRPr="00DB2941">
        <w:rPr>
          <w:noProof/>
          <w:sz w:val="22"/>
          <w:lang w:eastAsia="en-GB"/>
        </w:rPr>
        <w:t>.</w:t>
      </w:r>
    </w:p>
    <w:p w14:paraId="10DA2BEB" w14:textId="3E71EA3E" w:rsidR="0040534C" w:rsidRPr="009F4A52" w:rsidRDefault="0040534C" w:rsidP="0040534C">
      <w:pPr>
        <w:spacing w:after="120"/>
        <w:rPr>
          <w:noProof/>
          <w:sz w:val="22"/>
          <w:lang w:eastAsia="en-GB"/>
        </w:rPr>
      </w:pPr>
      <w:r w:rsidRPr="009F4A52">
        <w:rPr>
          <w:noProof/>
          <w:sz w:val="22"/>
          <w:lang w:eastAsia="en-GB"/>
        </w:rPr>
        <w:t xml:space="preserve">European Public Prosecutor’s Office (2026), </w:t>
      </w:r>
      <w:r w:rsidRPr="009F4A52">
        <w:rPr>
          <w:i/>
          <w:iCs/>
          <w:noProof/>
          <w:sz w:val="22"/>
          <w:lang w:eastAsia="en-GB"/>
        </w:rPr>
        <w:t>Annual Report 2025</w:t>
      </w:r>
      <w:r w:rsidRPr="009F4A52">
        <w:rPr>
          <w:noProof/>
          <w:sz w:val="22"/>
          <w:lang w:eastAsia="en-GB"/>
        </w:rPr>
        <w:t>,</w:t>
      </w:r>
      <w:r w:rsidRPr="009F4A52">
        <w:rPr>
          <w:noProof/>
        </w:rPr>
        <w:t xml:space="preserve"> </w:t>
      </w:r>
      <w:r w:rsidRPr="009F4A52">
        <w:rPr>
          <w:noProof/>
          <w:sz w:val="22"/>
          <w:lang w:eastAsia="en-GB"/>
        </w:rPr>
        <w:t>https://www.eppo.europa.eu/assets/annual-report-2025/index.html</w:t>
      </w:r>
      <w:r w:rsidR="001365CB" w:rsidRPr="00DB2941">
        <w:rPr>
          <w:noProof/>
          <w:sz w:val="22"/>
          <w:lang w:eastAsia="en-GB"/>
        </w:rPr>
        <w:t>.</w:t>
      </w:r>
    </w:p>
    <w:p w14:paraId="1CD38DD2" w14:textId="77777777" w:rsidR="0040534C" w:rsidRPr="009F4A52" w:rsidRDefault="0040534C" w:rsidP="0040534C">
      <w:pPr>
        <w:spacing w:after="120"/>
        <w:rPr>
          <w:i/>
          <w:iCs/>
          <w:noProof/>
          <w:sz w:val="22"/>
        </w:rPr>
      </w:pPr>
      <w:r w:rsidRPr="009F4A52">
        <w:rPr>
          <w:noProof/>
          <w:sz w:val="22"/>
        </w:rPr>
        <w:t xml:space="preserve">GRECO (2023), </w:t>
      </w:r>
      <w:r w:rsidRPr="009F4A52">
        <w:rPr>
          <w:i/>
          <w:iCs/>
          <w:noProof/>
          <w:sz w:val="22"/>
        </w:rPr>
        <w:t>Fifth Evaluation Round, Preventing corruption and promoting integrity in central governments (top executive functions) and law enforcement agencies – Evaluation Report on Cyprus.</w:t>
      </w:r>
    </w:p>
    <w:p w14:paraId="7AF474A5" w14:textId="77777777" w:rsidR="0040534C" w:rsidRPr="005652C4" w:rsidRDefault="0040534C" w:rsidP="0040534C">
      <w:pPr>
        <w:spacing w:after="120"/>
        <w:rPr>
          <w:noProof/>
          <w:sz w:val="22"/>
        </w:rPr>
      </w:pPr>
      <w:r w:rsidRPr="009F4A52">
        <w:rPr>
          <w:noProof/>
          <w:sz w:val="22"/>
          <w:lang w:eastAsia="en-GB"/>
        </w:rPr>
        <w:t xml:space="preserve">GRECO (2025), </w:t>
      </w:r>
      <w:r w:rsidRPr="009F4A52">
        <w:rPr>
          <w:i/>
          <w:iCs/>
          <w:noProof/>
          <w:sz w:val="22"/>
          <w:lang w:eastAsia="en-GB"/>
        </w:rPr>
        <w:t>Fifth Evaluation Round, Preventing corruption and promoting integrity in central governments (top executive functions) and law enforcement agencies – Compliance Report on</w:t>
      </w:r>
      <w:r w:rsidRPr="00965F6E">
        <w:rPr>
          <w:i/>
          <w:iCs/>
          <w:noProof/>
          <w:sz w:val="22"/>
          <w:lang w:eastAsia="en-GB"/>
        </w:rPr>
        <w:t xml:space="preserve"> Cyprus</w:t>
      </w:r>
      <w:r w:rsidRPr="009161B9">
        <w:rPr>
          <w:noProof/>
          <w:sz w:val="22"/>
          <w:lang w:eastAsia="en-GB"/>
        </w:rPr>
        <w:t>.</w:t>
      </w:r>
      <w:r>
        <w:rPr>
          <w:noProof/>
          <w:sz w:val="22"/>
          <w:lang w:eastAsia="en-GB"/>
        </w:rPr>
        <w:t xml:space="preserve"> </w:t>
      </w:r>
      <w:hyperlink r:id="rId36" w:history="1">
        <w:r w:rsidRPr="003B0818">
          <w:rPr>
            <w:rStyle w:val="Hyperlink"/>
            <w:noProof/>
            <w:sz w:val="22"/>
            <w:lang w:eastAsia="en-GB"/>
          </w:rPr>
          <w:t>https://rm.coe.int/grecorc5-2025-13-final-eng-compliance-report-pub/4880287112</w:t>
        </w:r>
      </w:hyperlink>
    </w:p>
    <w:p w14:paraId="5C45D8DD" w14:textId="77777777" w:rsidR="001365CB" w:rsidRPr="000E6DDB" w:rsidRDefault="0040534C" w:rsidP="0040534C">
      <w:pPr>
        <w:spacing w:after="120"/>
        <w:rPr>
          <w:noProof/>
        </w:rPr>
      </w:pPr>
      <w:r w:rsidRPr="005652C4">
        <w:rPr>
          <w:noProof/>
          <w:sz w:val="22"/>
          <w:lang w:eastAsia="en-GB"/>
        </w:rPr>
        <w:t xml:space="preserve">Independent Authority against Corruption (2025), </w:t>
      </w:r>
      <w:r w:rsidRPr="005652C4">
        <w:rPr>
          <w:i/>
          <w:noProof/>
          <w:sz w:val="22"/>
          <w:lang w:eastAsia="en-GB"/>
        </w:rPr>
        <w:t xml:space="preserve">Anti-Corruption Plan, </w:t>
      </w:r>
      <w:r w:rsidR="001365CB">
        <w:rPr>
          <w:i/>
          <w:noProof/>
          <w:sz w:val="22"/>
          <w:lang w:eastAsia="en-GB"/>
        </w:rPr>
        <w:fldChar w:fldCharType="begin"/>
      </w:r>
      <w:r w:rsidR="001365CB">
        <w:rPr>
          <w:i/>
          <w:noProof/>
          <w:sz w:val="22"/>
          <w:lang w:eastAsia="en-GB"/>
        </w:rPr>
        <w:instrText>HYPERLINK "</w:instrText>
      </w:r>
      <w:r w:rsidR="001365CB" w:rsidRPr="000E6DDB">
        <w:rPr>
          <w:noProof/>
        </w:rPr>
        <w:instrText>https://www.iaac.org.cy/iaac/iaac.nsf/</w:instrText>
      </w:r>
      <w:r w:rsidR="001365CB" w:rsidRPr="00DB2941">
        <w:rPr>
          <w:noProof/>
          <w:sz w:val="22"/>
          <w:lang w:eastAsia="en-GB"/>
        </w:rPr>
        <w:instrText>.</w:instrText>
      </w:r>
    </w:p>
    <w:p w14:paraId="7E9D7657" w14:textId="138E28EB" w:rsidR="001365CB" w:rsidRPr="001365CB" w:rsidRDefault="001365CB" w:rsidP="0040534C">
      <w:pPr>
        <w:spacing w:after="120"/>
        <w:rPr>
          <w:rStyle w:val="Hyperlink"/>
          <w:i/>
          <w:noProof/>
          <w:sz w:val="22"/>
          <w:lang w:eastAsia="en-GB"/>
        </w:rPr>
      </w:pPr>
      <w:r>
        <w:rPr>
          <w:i/>
          <w:noProof/>
          <w:sz w:val="22"/>
          <w:lang w:eastAsia="en-GB"/>
        </w:rPr>
        <w:instrText>"</w:instrText>
      </w:r>
      <w:r>
        <w:rPr>
          <w:i/>
          <w:noProof/>
          <w:sz w:val="22"/>
          <w:lang w:eastAsia="en-GB"/>
        </w:rPr>
        <w:fldChar w:fldCharType="separate"/>
      </w:r>
      <w:r w:rsidRPr="001365CB">
        <w:rPr>
          <w:rStyle w:val="Hyperlink"/>
          <w:i/>
          <w:noProof/>
          <w:sz w:val="22"/>
          <w:lang w:eastAsia="en-GB"/>
        </w:rPr>
        <w:t>https://www.iaac.org.cy/iaac/iaac.nsf/</w:t>
      </w:r>
      <w:r w:rsidRPr="002F17C3">
        <w:rPr>
          <w:rStyle w:val="Hyperlink"/>
          <w:noProof/>
          <w:sz w:val="22"/>
          <w:lang w:eastAsia="en-GB"/>
        </w:rPr>
        <w:t>.</w:t>
      </w:r>
    </w:p>
    <w:p w14:paraId="22A80FBD" w14:textId="2D8FF661" w:rsidR="0040534C" w:rsidRPr="006E51BC" w:rsidRDefault="001365CB" w:rsidP="0040534C">
      <w:pPr>
        <w:spacing w:after="120"/>
        <w:rPr>
          <w:i/>
          <w:noProof/>
          <w:sz w:val="22"/>
          <w:lang w:eastAsia="en-GB"/>
        </w:rPr>
      </w:pPr>
      <w:r>
        <w:rPr>
          <w:i/>
          <w:noProof/>
          <w:sz w:val="22"/>
          <w:lang w:eastAsia="en-GB"/>
        </w:rPr>
        <w:fldChar w:fldCharType="end"/>
      </w:r>
      <w:r w:rsidR="0040534C" w:rsidRPr="005652C4">
        <w:rPr>
          <w:noProof/>
          <w:sz w:val="22"/>
          <w:lang w:eastAsia="en-GB"/>
        </w:rPr>
        <w:t xml:space="preserve">Independent Authority against Corruption </w:t>
      </w:r>
      <w:r w:rsidR="0040534C" w:rsidRPr="006E51BC">
        <w:rPr>
          <w:i/>
          <w:noProof/>
          <w:sz w:val="22"/>
          <w:lang w:eastAsia="en-GB"/>
        </w:rPr>
        <w:t xml:space="preserve">(2026), </w:t>
      </w:r>
      <w:r w:rsidR="0040534C" w:rsidRPr="00946E7D">
        <w:rPr>
          <w:i/>
          <w:noProof/>
          <w:sz w:val="22"/>
          <w:lang w:eastAsia="en-GB"/>
        </w:rPr>
        <w:t>Contribution from the Independent Authority Against Corruption (IAAC)</w:t>
      </w:r>
      <w:r w:rsidRPr="001365CB">
        <w:rPr>
          <w:noProof/>
          <w:sz w:val="22"/>
          <w:lang w:eastAsia="en-GB"/>
        </w:rPr>
        <w:t xml:space="preserve"> </w:t>
      </w:r>
      <w:r w:rsidRPr="00DB2941">
        <w:rPr>
          <w:noProof/>
          <w:sz w:val="22"/>
          <w:lang w:eastAsia="en-GB"/>
        </w:rPr>
        <w:t>.</w:t>
      </w:r>
    </w:p>
    <w:p w14:paraId="24707E28" w14:textId="0E51604A" w:rsidR="0040534C" w:rsidRDefault="0040534C" w:rsidP="0040534C">
      <w:pPr>
        <w:spacing w:after="120"/>
        <w:rPr>
          <w:noProof/>
          <w:sz w:val="22"/>
          <w:lang w:eastAsia="en-GB"/>
        </w:rPr>
      </w:pPr>
      <w:r w:rsidRPr="005652C4">
        <w:rPr>
          <w:noProof/>
          <w:sz w:val="22"/>
          <w:lang w:eastAsia="en-GB"/>
        </w:rPr>
        <w:t>Independent Authority against Corruption</w:t>
      </w:r>
      <w:r w:rsidRPr="006E51BC">
        <w:rPr>
          <w:i/>
          <w:noProof/>
          <w:sz w:val="22"/>
          <w:lang w:eastAsia="en-GB"/>
        </w:rPr>
        <w:t xml:space="preserve"> (2026</w:t>
      </w:r>
      <w:r>
        <w:rPr>
          <w:i/>
          <w:noProof/>
          <w:sz w:val="22"/>
          <w:lang w:eastAsia="en-GB"/>
        </w:rPr>
        <w:t>a</w:t>
      </w:r>
      <w:r w:rsidRPr="006E51BC">
        <w:rPr>
          <w:i/>
          <w:noProof/>
          <w:sz w:val="22"/>
          <w:lang w:eastAsia="en-GB"/>
        </w:rPr>
        <w:t xml:space="preserve">), </w:t>
      </w:r>
      <w:r>
        <w:rPr>
          <w:i/>
          <w:noProof/>
          <w:sz w:val="22"/>
          <w:lang w:eastAsia="en-GB"/>
        </w:rPr>
        <w:t>Additional c</w:t>
      </w:r>
      <w:r w:rsidRPr="00946E7D">
        <w:rPr>
          <w:i/>
          <w:noProof/>
          <w:sz w:val="22"/>
          <w:lang w:eastAsia="en-GB"/>
        </w:rPr>
        <w:t>ontribution from the Independent Authority Against Corruption (IAAC)</w:t>
      </w:r>
      <w:r w:rsidR="001365CB" w:rsidRPr="001365CB">
        <w:rPr>
          <w:noProof/>
          <w:sz w:val="22"/>
          <w:lang w:eastAsia="en-GB"/>
        </w:rPr>
        <w:t xml:space="preserve"> </w:t>
      </w:r>
      <w:r w:rsidR="001365CB" w:rsidRPr="00DB2941">
        <w:rPr>
          <w:noProof/>
          <w:sz w:val="22"/>
          <w:lang w:eastAsia="en-GB"/>
        </w:rPr>
        <w:t>.</w:t>
      </w:r>
    </w:p>
    <w:p w14:paraId="10DE188F" w14:textId="77777777" w:rsidR="00C81F7B" w:rsidRPr="00FA7DA1" w:rsidRDefault="00C81F7B" w:rsidP="00C81F7B">
      <w:pPr>
        <w:rPr>
          <w:noProof/>
          <w:sz w:val="22"/>
          <w:szCs w:val="22"/>
        </w:rPr>
      </w:pPr>
      <w:r w:rsidRPr="002C33F6">
        <w:rPr>
          <w:rFonts w:eastAsia="Calibri"/>
          <w:bCs/>
          <w:noProof/>
        </w:rPr>
        <w:t>I</w:t>
      </w:r>
      <w:r w:rsidRPr="00FA7DA1">
        <w:rPr>
          <w:noProof/>
          <w:sz w:val="22"/>
          <w:lang w:eastAsia="en-GB"/>
        </w:rPr>
        <w:t xml:space="preserve">ndependent Authority against Corruption (IAAC), </w:t>
      </w:r>
      <w:r w:rsidRPr="00FA7DA1">
        <w:rPr>
          <w:i/>
          <w:noProof/>
          <w:sz w:val="22"/>
          <w:lang w:eastAsia="en-GB"/>
        </w:rPr>
        <w:t>press release , IAAC, 16 June 2026,</w:t>
      </w:r>
      <w:r>
        <w:rPr>
          <w:noProof/>
        </w:rPr>
        <w:t xml:space="preserve">  </w:t>
      </w:r>
      <w:hyperlink r:id="rId37" w:history="1">
        <w:r w:rsidRPr="00FA7DA1">
          <w:rPr>
            <w:rStyle w:val="Hyperlink"/>
            <w:noProof/>
            <w:sz w:val="22"/>
            <w:szCs w:val="22"/>
          </w:rPr>
          <w:t>https://www.iaac.org.cy/iaac/iaac.nsf/All/F3C9733F708AB3A4C2258E18002EF6CB?OpenDocument</w:t>
        </w:r>
      </w:hyperlink>
    </w:p>
    <w:p w14:paraId="0AA49CBA" w14:textId="77777777" w:rsidR="0040534C" w:rsidRPr="001A6A08" w:rsidRDefault="0040534C" w:rsidP="0040534C">
      <w:pPr>
        <w:spacing w:after="120"/>
        <w:rPr>
          <w:noProof/>
          <w:sz w:val="22"/>
          <w:lang w:eastAsia="en-GB"/>
        </w:rPr>
      </w:pPr>
      <w:r w:rsidRPr="001A6A08">
        <w:rPr>
          <w:noProof/>
          <w:sz w:val="22"/>
          <w:lang w:eastAsia="en-GB"/>
        </w:rPr>
        <w:t xml:space="preserve">Judicial Service (2026), </w:t>
      </w:r>
      <w:r w:rsidRPr="00965F6E">
        <w:rPr>
          <w:i/>
          <w:iCs/>
          <w:noProof/>
          <w:sz w:val="22"/>
          <w:lang w:eastAsia="en-GB"/>
        </w:rPr>
        <w:t>Input for the 2026 Rule of Law Report</w:t>
      </w:r>
      <w:r w:rsidRPr="001A6A08">
        <w:rPr>
          <w:noProof/>
          <w:sz w:val="22"/>
          <w:lang w:eastAsia="en-GB"/>
        </w:rPr>
        <w:t xml:space="preserve">. </w:t>
      </w:r>
    </w:p>
    <w:p w14:paraId="681D3707" w14:textId="77777777" w:rsidR="0040534C" w:rsidRDefault="0040534C" w:rsidP="0040534C">
      <w:pPr>
        <w:spacing w:after="120"/>
        <w:rPr>
          <w:i/>
          <w:iCs/>
          <w:noProof/>
          <w:sz w:val="22"/>
          <w:lang w:val="en-US" w:eastAsia="en-GB"/>
        </w:rPr>
      </w:pPr>
      <w:r w:rsidRPr="006210AE">
        <w:rPr>
          <w:noProof/>
          <w:sz w:val="22"/>
          <w:lang w:val="en-US" w:eastAsia="en-GB"/>
        </w:rPr>
        <w:t xml:space="preserve">KISA (2025), </w:t>
      </w:r>
      <w:r w:rsidRPr="00234F8C">
        <w:rPr>
          <w:i/>
          <w:iCs/>
          <w:noProof/>
          <w:sz w:val="22"/>
          <w:lang w:val="en-US" w:eastAsia="en-GB"/>
        </w:rPr>
        <w:t>press release of 27 October 20</w:t>
      </w:r>
      <w:r>
        <w:rPr>
          <w:i/>
          <w:iCs/>
          <w:noProof/>
          <w:sz w:val="22"/>
          <w:lang w:val="en-US" w:eastAsia="en-GB"/>
        </w:rPr>
        <w:t>25.</w:t>
      </w:r>
    </w:p>
    <w:p w14:paraId="43D4EEDF" w14:textId="72D5171C" w:rsidR="0040534C" w:rsidRPr="00985B72" w:rsidRDefault="0040534C" w:rsidP="0040534C">
      <w:pPr>
        <w:spacing w:after="120"/>
        <w:rPr>
          <w:rStyle w:val="Hyperlink"/>
          <w:noProof/>
          <w:sz w:val="22"/>
          <w:lang w:val="en-US" w:eastAsia="en-GB"/>
        </w:rPr>
      </w:pPr>
      <w:r>
        <w:rPr>
          <w:noProof/>
          <w:sz w:val="22"/>
          <w:lang w:eastAsia="en-GB"/>
        </w:rPr>
        <w:t>Law Office (2026),</w:t>
      </w:r>
      <w:r w:rsidRPr="003C248F">
        <w:rPr>
          <w:noProof/>
          <w:sz w:val="22"/>
          <w:lang w:eastAsia="en-GB"/>
        </w:rPr>
        <w:t xml:space="preserve"> </w:t>
      </w:r>
      <w:r>
        <w:rPr>
          <w:i/>
          <w:iCs/>
          <w:noProof/>
          <w:sz w:val="22"/>
          <w:lang w:eastAsia="en-GB"/>
        </w:rPr>
        <w:t>P</w:t>
      </w:r>
      <w:r w:rsidRPr="003C248F">
        <w:rPr>
          <w:i/>
          <w:iCs/>
          <w:noProof/>
          <w:sz w:val="22"/>
          <w:lang w:eastAsia="en-GB"/>
        </w:rPr>
        <w:t>ress releases of 12 and 13 January 2026</w:t>
      </w:r>
      <w:r w:rsidRPr="0086503D">
        <w:rPr>
          <w:noProof/>
          <w:sz w:val="22"/>
          <w:lang w:eastAsia="en-GB"/>
        </w:rPr>
        <w:t>,</w:t>
      </w:r>
      <w:r w:rsidRPr="003C248F">
        <w:rPr>
          <w:noProof/>
          <w:sz w:val="22"/>
          <w:lang w:eastAsia="en-GB"/>
        </w:rPr>
        <w:t xml:space="preserve"> </w:t>
      </w:r>
      <w:r>
        <w:rPr>
          <w:noProof/>
          <w:sz w:val="22"/>
          <w:lang w:eastAsia="en-GB"/>
        </w:rPr>
        <w:fldChar w:fldCharType="begin"/>
      </w:r>
      <w:r>
        <w:rPr>
          <w:noProof/>
          <w:sz w:val="22"/>
          <w:lang w:eastAsia="en-GB"/>
        </w:rPr>
        <w:instrText>HYPERLINK "https://www.law.gov.cy/law/law.nsf/announcements-arch-el/announcements-arch-el?OpenDocument&amp;Start=1&amp;Count=1000&amp;Expand=1"</w:instrText>
      </w:r>
      <w:r>
        <w:rPr>
          <w:noProof/>
          <w:sz w:val="22"/>
          <w:lang w:eastAsia="en-GB"/>
        </w:rPr>
        <w:fldChar w:fldCharType="separate"/>
      </w:r>
      <w:r w:rsidRPr="00985B72">
        <w:rPr>
          <w:rStyle w:val="Hyperlink"/>
          <w:noProof/>
          <w:sz w:val="22"/>
          <w:lang w:eastAsia="en-GB"/>
        </w:rPr>
        <w:t>https://www.law.gov.cy/law/law.nsf</w:t>
      </w:r>
      <w:r w:rsidR="001365CB" w:rsidRPr="00DB2941">
        <w:rPr>
          <w:noProof/>
          <w:sz w:val="22"/>
          <w:lang w:eastAsia="en-GB"/>
        </w:rPr>
        <w:t>.</w:t>
      </w:r>
      <w:r w:rsidRPr="00985B72">
        <w:rPr>
          <w:rStyle w:val="Hyperlink"/>
          <w:noProof/>
          <w:sz w:val="22"/>
          <w:lang w:eastAsia="en-GB"/>
        </w:rPr>
        <w:t xml:space="preserve">  </w:t>
      </w:r>
      <w:bookmarkStart w:id="35" w:name="_Hlt233625344"/>
      <w:bookmarkStart w:id="36" w:name="_Hlt233625345"/>
      <w:bookmarkEnd w:id="35"/>
      <w:bookmarkEnd w:id="36"/>
    </w:p>
    <w:p w14:paraId="75121166" w14:textId="400D2333" w:rsidR="00F24823" w:rsidRPr="00F24823" w:rsidRDefault="0040534C" w:rsidP="00F24823">
      <w:pPr>
        <w:rPr>
          <w:noProof/>
          <w:sz w:val="22"/>
          <w:lang w:eastAsia="en-GB"/>
        </w:rPr>
      </w:pPr>
      <w:r>
        <w:rPr>
          <w:noProof/>
          <w:sz w:val="22"/>
          <w:lang w:eastAsia="en-GB"/>
        </w:rPr>
        <w:fldChar w:fldCharType="end"/>
      </w:r>
      <w:r w:rsidR="00F24823" w:rsidRPr="00F24823">
        <w:rPr>
          <w:noProof/>
          <w:sz w:val="22"/>
          <w:lang w:eastAsia="en-GB"/>
        </w:rPr>
        <w:t xml:space="preserve">Law Office (2026), </w:t>
      </w:r>
      <w:r w:rsidR="00F24823" w:rsidRPr="00FA7DA1">
        <w:rPr>
          <w:i/>
          <w:iCs/>
          <w:noProof/>
          <w:sz w:val="22"/>
          <w:lang w:eastAsia="en-GB"/>
        </w:rPr>
        <w:t>Press release of 17 June 2026</w:t>
      </w:r>
      <w:r w:rsidR="00F24823" w:rsidRPr="00F24823">
        <w:rPr>
          <w:noProof/>
          <w:sz w:val="22"/>
          <w:lang w:eastAsia="en-GB"/>
        </w:rPr>
        <w:t xml:space="preserve">, https://www.law.gov.cy/law/law.nsf/all/9E2913D6C549BE73C2258E19003313DF?opendocument </w:t>
      </w:r>
    </w:p>
    <w:p w14:paraId="5ADCA6FE" w14:textId="1DCAD28A" w:rsidR="0040534C" w:rsidRPr="00C8725A" w:rsidRDefault="0040534C" w:rsidP="0040534C">
      <w:pPr>
        <w:spacing w:after="120"/>
        <w:rPr>
          <w:i/>
          <w:iCs/>
          <w:noProof/>
          <w:sz w:val="22"/>
          <w:lang w:eastAsia="en-GB"/>
        </w:rPr>
      </w:pPr>
      <w:r w:rsidRPr="00C8725A">
        <w:rPr>
          <w:noProof/>
          <w:sz w:val="22"/>
          <w:lang w:eastAsia="en-GB"/>
        </w:rPr>
        <w:t xml:space="preserve">Nomosplatform (2025), </w:t>
      </w:r>
      <w:r w:rsidRPr="00C8725A">
        <w:rPr>
          <w:i/>
          <w:iCs/>
          <w:noProof/>
          <w:sz w:val="22"/>
          <w:lang w:eastAsia="en-GB"/>
        </w:rPr>
        <w:t>Disagreement between Ministry of Justice and Auditor General over the Audit Council.</w:t>
      </w:r>
    </w:p>
    <w:p w14:paraId="5DFF5123" w14:textId="77777777" w:rsidR="0040534C" w:rsidRDefault="0040534C" w:rsidP="0040534C">
      <w:pPr>
        <w:spacing w:after="120"/>
        <w:rPr>
          <w:noProof/>
          <w:sz w:val="22"/>
          <w:lang w:val="en-IE" w:eastAsia="en-GB"/>
        </w:rPr>
      </w:pPr>
      <w:r w:rsidRPr="00C266ED">
        <w:rPr>
          <w:noProof/>
          <w:sz w:val="22"/>
          <w:lang w:val="en-IE" w:eastAsia="en-GB"/>
        </w:rPr>
        <w:t xml:space="preserve">OECD (2025), </w:t>
      </w:r>
      <w:r w:rsidRPr="000B03D0">
        <w:rPr>
          <w:i/>
          <w:iCs/>
          <w:noProof/>
          <w:sz w:val="22"/>
          <w:lang w:val="en-IE" w:eastAsia="en-GB"/>
        </w:rPr>
        <w:t>Better Regulation across the European Union 2025</w:t>
      </w:r>
      <w:r>
        <w:rPr>
          <w:noProof/>
          <w:sz w:val="22"/>
          <w:lang w:val="en-IE" w:eastAsia="en-GB"/>
        </w:rPr>
        <w:t xml:space="preserve">, </w:t>
      </w:r>
      <w:hyperlink r:id="rId38" w:history="1">
        <w:r w:rsidRPr="003B0818">
          <w:rPr>
            <w:rStyle w:val="Hyperlink"/>
            <w:noProof/>
            <w:sz w:val="22"/>
            <w:lang w:val="en-IE" w:eastAsia="en-GB"/>
          </w:rPr>
          <w:t>https://www.oecd.org/en/publications/better-regulation-practices-across-the-european-union-2025_6f007516-en/full-report.html</w:t>
        </w:r>
      </w:hyperlink>
      <w:r w:rsidRPr="006C0BC4">
        <w:rPr>
          <w:noProof/>
          <w:sz w:val="22"/>
          <w:lang w:val="en-IE" w:eastAsia="en-GB"/>
        </w:rPr>
        <w:t>.</w:t>
      </w:r>
    </w:p>
    <w:p w14:paraId="26D89704" w14:textId="04CD9892" w:rsidR="0040534C" w:rsidRDefault="0040534C" w:rsidP="0040534C">
      <w:pPr>
        <w:spacing w:after="120"/>
        <w:rPr>
          <w:noProof/>
          <w:sz w:val="22"/>
          <w:lang w:eastAsia="en-GB"/>
        </w:rPr>
      </w:pPr>
      <w:r>
        <w:rPr>
          <w:noProof/>
          <w:sz w:val="22"/>
          <w:lang w:eastAsia="en-GB"/>
        </w:rPr>
        <w:t xml:space="preserve">OSCE (2025), </w:t>
      </w:r>
      <w:r w:rsidRPr="003C248F">
        <w:rPr>
          <w:i/>
          <w:iCs/>
          <w:noProof/>
          <w:sz w:val="22"/>
          <w:lang w:eastAsia="en-GB"/>
        </w:rPr>
        <w:t>ODIHR Urgent Opinion on the Law 151(I) of 2025 on Public Gatherings and Parades of the Republic of Cyprus</w:t>
      </w:r>
      <w:r>
        <w:rPr>
          <w:noProof/>
          <w:sz w:val="22"/>
          <w:lang w:eastAsia="en-GB"/>
        </w:rPr>
        <w:t xml:space="preserve">. </w:t>
      </w:r>
      <w:hyperlink r:id="rId39" w:history="1">
        <w:r w:rsidRPr="003B0818">
          <w:rPr>
            <w:rStyle w:val="Hyperlink"/>
            <w:noProof/>
            <w:sz w:val="22"/>
            <w:lang w:eastAsia="en-GB"/>
          </w:rPr>
          <w:t>https://odihr.osce.org/odihr/elections/cyprus/597818</w:t>
        </w:r>
      </w:hyperlink>
      <w:r w:rsidR="001365CB" w:rsidRPr="00DB2941">
        <w:rPr>
          <w:noProof/>
          <w:sz w:val="22"/>
          <w:lang w:eastAsia="en-GB"/>
        </w:rPr>
        <w:t>.</w:t>
      </w:r>
    </w:p>
    <w:p w14:paraId="5E262C20" w14:textId="77777777" w:rsidR="0040534C" w:rsidRDefault="0040534C" w:rsidP="0040534C">
      <w:pPr>
        <w:spacing w:after="120"/>
        <w:rPr>
          <w:noProof/>
          <w:sz w:val="22"/>
          <w:lang w:eastAsia="en-GB"/>
        </w:rPr>
      </w:pPr>
      <w:r w:rsidRPr="00AE72CA">
        <w:rPr>
          <w:noProof/>
          <w:sz w:val="22"/>
          <w:lang w:eastAsia="en-GB"/>
        </w:rPr>
        <w:t>Oxygen for Democracy (202</w:t>
      </w:r>
      <w:r>
        <w:rPr>
          <w:noProof/>
          <w:sz w:val="22"/>
          <w:lang w:eastAsia="en-GB"/>
        </w:rPr>
        <w:t>6</w:t>
      </w:r>
      <w:r w:rsidRPr="00AE72CA">
        <w:rPr>
          <w:noProof/>
          <w:sz w:val="22"/>
          <w:lang w:eastAsia="en-GB"/>
        </w:rPr>
        <w:t xml:space="preserve">), </w:t>
      </w:r>
      <w:r w:rsidRPr="004609DB">
        <w:rPr>
          <w:i/>
          <w:iCs/>
          <w:noProof/>
          <w:sz w:val="22"/>
          <w:lang w:eastAsia="en-GB"/>
        </w:rPr>
        <w:t>Input for the 2026 Rule of Law Report</w:t>
      </w:r>
      <w:r w:rsidRPr="00AE72CA">
        <w:rPr>
          <w:noProof/>
          <w:sz w:val="22"/>
          <w:lang w:eastAsia="en-GB"/>
        </w:rPr>
        <w:t>.</w:t>
      </w:r>
    </w:p>
    <w:p w14:paraId="79779FE3" w14:textId="77777777" w:rsidR="0040534C" w:rsidRDefault="0040534C" w:rsidP="0040534C">
      <w:pPr>
        <w:spacing w:after="120"/>
        <w:rPr>
          <w:noProof/>
          <w:sz w:val="22"/>
          <w:lang w:eastAsia="en-GB"/>
        </w:rPr>
      </w:pPr>
      <w:r>
        <w:rPr>
          <w:noProof/>
          <w:sz w:val="22"/>
          <w:lang w:eastAsia="en-GB"/>
        </w:rPr>
        <w:t xml:space="preserve">Parliament (2026), </w:t>
      </w:r>
      <w:r w:rsidRPr="009F3CBE">
        <w:rPr>
          <w:i/>
          <w:noProof/>
          <w:sz w:val="22"/>
        </w:rPr>
        <w:t>Report of the Parliamentary Committee on Legal Affairs, Justice and Public Order on the Bill entitled “The Criminal Procedure (Amendment) Law of 2025”</w:t>
      </w:r>
      <w:r>
        <w:rPr>
          <w:i/>
          <w:noProof/>
          <w:sz w:val="22"/>
        </w:rPr>
        <w:t>, 24 March 2026.</w:t>
      </w:r>
    </w:p>
    <w:p w14:paraId="7D3DC69D" w14:textId="4844AB12" w:rsidR="0040534C" w:rsidRDefault="0040534C" w:rsidP="0040534C">
      <w:pPr>
        <w:spacing w:after="120"/>
        <w:rPr>
          <w:noProof/>
        </w:rPr>
      </w:pPr>
      <w:r w:rsidRPr="004E2296">
        <w:rPr>
          <w:noProof/>
          <w:sz w:val="22"/>
          <w:lang w:eastAsia="en-GB"/>
        </w:rPr>
        <w:t>Philenews</w:t>
      </w:r>
      <w:r w:rsidRPr="004E2296">
        <w:rPr>
          <w:i/>
          <w:iCs/>
          <w:noProof/>
          <w:sz w:val="22"/>
          <w:lang w:eastAsia="en-GB"/>
        </w:rPr>
        <w:t xml:space="preserve"> (</w:t>
      </w:r>
      <w:r w:rsidRPr="00945029">
        <w:rPr>
          <w:i/>
          <w:iCs/>
          <w:noProof/>
          <w:sz w:val="22"/>
          <w:lang w:eastAsia="en-GB"/>
        </w:rPr>
        <w:t>2025</w:t>
      </w:r>
      <w:r w:rsidRPr="004E2296">
        <w:rPr>
          <w:i/>
          <w:iCs/>
          <w:noProof/>
          <w:sz w:val="22"/>
          <w:lang w:eastAsia="en-GB"/>
        </w:rPr>
        <w:t>),</w:t>
      </w:r>
      <w:r w:rsidRPr="00945029">
        <w:rPr>
          <w:noProof/>
        </w:rPr>
        <w:t xml:space="preserve"> </w:t>
      </w:r>
      <w:r w:rsidRPr="00985B72">
        <w:rPr>
          <w:i/>
          <w:noProof/>
          <w:sz w:val="22"/>
          <w:lang w:eastAsia="en-GB"/>
        </w:rPr>
        <w:t>Cyprus launches its own ‘FBI’ to fight organised crime</w:t>
      </w:r>
      <w:r w:rsidRPr="004E2296">
        <w:rPr>
          <w:i/>
          <w:noProof/>
          <w:sz w:val="22"/>
          <w:lang w:eastAsia="en-GB"/>
        </w:rPr>
        <w:t>.</w:t>
      </w:r>
      <w:r w:rsidRPr="00945029">
        <w:rPr>
          <w:i/>
          <w:iCs/>
          <w:noProof/>
          <w:color w:val="0000FF"/>
          <w:u w:val="single"/>
        </w:rPr>
        <w:t xml:space="preserve"> </w:t>
      </w:r>
      <w:hyperlink r:id="rId40" w:history="1">
        <w:r w:rsidRPr="00A165E9">
          <w:rPr>
            <w:rStyle w:val="Hyperlink"/>
            <w:noProof/>
          </w:rPr>
          <w:t>https://in-cyprus.philenews.com/local/cyprus-laun</w:t>
        </w:r>
        <w:bookmarkStart w:id="37" w:name="_Hlt231223301"/>
        <w:bookmarkStart w:id="38" w:name="_Hlt231223302"/>
        <w:bookmarkEnd w:id="37"/>
        <w:bookmarkEnd w:id="38"/>
        <w:r w:rsidRPr="00A165E9">
          <w:rPr>
            <w:rStyle w:val="Hyperlink"/>
            <w:noProof/>
          </w:rPr>
          <w:t>ches-its-own-fbi-to-fight-organised-crime/</w:t>
        </w:r>
      </w:hyperlink>
      <w:r w:rsidR="001365CB" w:rsidRPr="00DB2941">
        <w:rPr>
          <w:noProof/>
          <w:sz w:val="22"/>
          <w:lang w:eastAsia="en-GB"/>
        </w:rPr>
        <w:t>.</w:t>
      </w:r>
    </w:p>
    <w:p w14:paraId="0F7DA69D" w14:textId="20A6E4CC" w:rsidR="0040534C" w:rsidRPr="003C248F" w:rsidRDefault="0056079A" w:rsidP="0040534C">
      <w:pPr>
        <w:spacing w:after="120"/>
        <w:rPr>
          <w:noProof/>
          <w:sz w:val="22"/>
          <w:lang w:eastAsia="en-GB"/>
        </w:rPr>
      </w:pPr>
      <w:r w:rsidRPr="00FA7DA1">
        <w:rPr>
          <w:noProof/>
          <w:sz w:val="22"/>
        </w:rPr>
        <w:t xml:space="preserve">Politis </w:t>
      </w:r>
      <w:r>
        <w:rPr>
          <w:noProof/>
          <w:sz w:val="22"/>
        </w:rPr>
        <w:t>(</w:t>
      </w:r>
      <w:r w:rsidRPr="00FA7DA1">
        <w:rPr>
          <w:noProof/>
          <w:sz w:val="22"/>
        </w:rPr>
        <w:t>2026),</w:t>
      </w:r>
      <w:r>
        <w:rPr>
          <w:i/>
          <w:iCs/>
          <w:noProof/>
          <w:sz w:val="22"/>
        </w:rPr>
        <w:t xml:space="preserve"> </w:t>
      </w:r>
      <w:r w:rsidR="006811DD" w:rsidRPr="00FA7DA1">
        <w:rPr>
          <w:i/>
          <w:iCs/>
          <w:noProof/>
          <w:sz w:val="22"/>
        </w:rPr>
        <w:t>MPs Propose New Powers for Anti-Corruption Authority to Launch Criminal Investigations</w:t>
      </w:r>
      <w:r>
        <w:rPr>
          <w:i/>
          <w:iCs/>
          <w:noProof/>
          <w:sz w:val="22"/>
        </w:rPr>
        <w:t xml:space="preserve"> </w:t>
      </w:r>
      <w:r w:rsidR="006811DD" w:rsidRPr="00FA7DA1">
        <w:rPr>
          <w:i/>
          <w:iCs/>
          <w:noProof/>
          <w:sz w:val="22"/>
        </w:rPr>
        <w:t>,</w:t>
      </w:r>
      <w:r w:rsidR="002D56DF" w:rsidRPr="00FA7DA1">
        <w:rPr>
          <w:i/>
          <w:iCs/>
          <w:noProof/>
          <w:sz w:val="22"/>
        </w:rPr>
        <w:t>https://en.politis.com.cy/news/politics/1015246/mps-propose-new-powers-for-anti-corruption-authority-to-launch-criminal-investigations</w:t>
      </w:r>
      <w:r w:rsidR="0040534C" w:rsidRPr="003C248F">
        <w:rPr>
          <w:noProof/>
          <w:sz w:val="22"/>
        </w:rPr>
        <w:t xml:space="preserve">Prof. Stéphanie Laulhé Shaelou and Dr. Klearchos Kyriakides (2024), </w:t>
      </w:r>
      <w:r w:rsidR="0040534C" w:rsidRPr="003C248F">
        <w:rPr>
          <w:i/>
          <w:iCs/>
          <w:noProof/>
          <w:sz w:val="22"/>
        </w:rPr>
        <w:t>An independent study evaluating the framework regulating access to information in the Government and law enforcement agencies of the Republic of Cyprus with a particular focus on Law 184(I)2017</w:t>
      </w:r>
      <w:r w:rsidR="0040534C" w:rsidRPr="003C248F">
        <w:rPr>
          <w:noProof/>
          <w:sz w:val="22"/>
        </w:rPr>
        <w:t>.</w:t>
      </w:r>
    </w:p>
    <w:p w14:paraId="626DA0DC" w14:textId="77777777" w:rsidR="0040534C" w:rsidRDefault="0040534C" w:rsidP="0040534C">
      <w:pPr>
        <w:spacing w:after="120"/>
        <w:rPr>
          <w:noProof/>
          <w:sz w:val="22"/>
          <w:lang w:eastAsia="en-GB"/>
        </w:rPr>
      </w:pPr>
      <w:r w:rsidRPr="004609DB">
        <w:rPr>
          <w:noProof/>
          <w:sz w:val="22"/>
          <w:lang w:eastAsia="en-GB"/>
        </w:rPr>
        <w:t>Supreme Constitutional Cou</w:t>
      </w:r>
      <w:r>
        <w:rPr>
          <w:noProof/>
          <w:sz w:val="22"/>
          <w:lang w:eastAsia="en-GB"/>
        </w:rPr>
        <w:t xml:space="preserve">ncil </w:t>
      </w:r>
      <w:r w:rsidRPr="00EB1224">
        <w:rPr>
          <w:noProof/>
          <w:sz w:val="22"/>
          <w:lang w:eastAsia="en-GB"/>
        </w:rPr>
        <w:t>(2026), Decision 2/2025</w:t>
      </w:r>
      <w:r>
        <w:rPr>
          <w:noProof/>
          <w:sz w:val="22"/>
          <w:lang w:eastAsia="en-GB"/>
        </w:rPr>
        <w:t>.</w:t>
      </w:r>
    </w:p>
    <w:p w14:paraId="22C1113C" w14:textId="77777777" w:rsidR="0040534C" w:rsidRDefault="0040534C" w:rsidP="0040534C">
      <w:pPr>
        <w:spacing w:after="120"/>
        <w:rPr>
          <w:noProof/>
          <w:sz w:val="22"/>
          <w:lang w:val="en-US" w:eastAsia="en-GB"/>
        </w:rPr>
      </w:pPr>
      <w:r w:rsidRPr="00C75F6E">
        <w:rPr>
          <w:noProof/>
          <w:sz w:val="22"/>
          <w:lang w:val="en-US" w:eastAsia="en-GB"/>
        </w:rPr>
        <w:t>Supreme Constitutional Court</w:t>
      </w:r>
      <w:r>
        <w:rPr>
          <w:noProof/>
          <w:sz w:val="22"/>
          <w:lang w:val="en-US" w:eastAsia="en-GB"/>
        </w:rPr>
        <w:t xml:space="preserve"> (2025a)</w:t>
      </w:r>
      <w:r w:rsidRPr="00C75F6E">
        <w:rPr>
          <w:noProof/>
          <w:sz w:val="22"/>
          <w:lang w:val="en-US" w:eastAsia="en-GB"/>
        </w:rPr>
        <w:t xml:space="preserve">, </w:t>
      </w:r>
      <w:r w:rsidRPr="003C248F">
        <w:rPr>
          <w:i/>
          <w:iCs/>
          <w:noProof/>
          <w:sz w:val="22"/>
          <w:lang w:val="en-US" w:eastAsia="en-GB"/>
        </w:rPr>
        <w:t>Judgment of 27 October 2025</w:t>
      </w:r>
      <w:r>
        <w:rPr>
          <w:i/>
          <w:iCs/>
          <w:noProof/>
          <w:sz w:val="22"/>
          <w:lang w:val="en-US" w:eastAsia="en-GB"/>
        </w:rPr>
        <w:t>, case 80/21</w:t>
      </w:r>
      <w:r w:rsidRPr="003C248F">
        <w:rPr>
          <w:i/>
          <w:iCs/>
          <w:noProof/>
          <w:sz w:val="22"/>
          <w:lang w:val="en-US" w:eastAsia="en-GB"/>
        </w:rPr>
        <w:t>.</w:t>
      </w:r>
    </w:p>
    <w:p w14:paraId="63BEE131" w14:textId="77777777" w:rsidR="0040534C" w:rsidRPr="001A6A08" w:rsidRDefault="0040534C" w:rsidP="0040534C">
      <w:pPr>
        <w:spacing w:after="120"/>
        <w:rPr>
          <w:noProof/>
          <w:sz w:val="22"/>
          <w:lang w:eastAsia="en-GB"/>
        </w:rPr>
      </w:pPr>
      <w:r w:rsidRPr="001A6A08">
        <w:rPr>
          <w:noProof/>
          <w:sz w:val="22"/>
          <w:lang w:eastAsia="en-GB"/>
        </w:rPr>
        <w:t>Supreme Constitutional Court</w:t>
      </w:r>
      <w:r>
        <w:rPr>
          <w:noProof/>
          <w:sz w:val="22"/>
          <w:lang w:eastAsia="en-GB"/>
        </w:rPr>
        <w:t xml:space="preserve"> (2025b)</w:t>
      </w:r>
      <w:r w:rsidRPr="001A6A08">
        <w:rPr>
          <w:noProof/>
          <w:sz w:val="22"/>
          <w:lang w:eastAsia="en-GB"/>
        </w:rPr>
        <w:t xml:space="preserve">, </w:t>
      </w:r>
      <w:r w:rsidRPr="003C248F">
        <w:rPr>
          <w:i/>
          <w:iCs/>
          <w:noProof/>
          <w:sz w:val="22"/>
          <w:lang w:eastAsia="en-GB"/>
        </w:rPr>
        <w:t>Judicial practice 13 of 5 November 2025</w:t>
      </w:r>
      <w:r w:rsidRPr="001A6A08">
        <w:rPr>
          <w:noProof/>
          <w:sz w:val="22"/>
          <w:lang w:eastAsia="en-GB"/>
        </w:rPr>
        <w:t xml:space="preserve">. </w:t>
      </w:r>
    </w:p>
    <w:p w14:paraId="2CD2100F" w14:textId="77777777" w:rsidR="0040534C" w:rsidRDefault="0040534C" w:rsidP="0040534C">
      <w:pPr>
        <w:spacing w:after="120"/>
        <w:rPr>
          <w:noProof/>
          <w:sz w:val="22"/>
          <w:lang w:eastAsia="en-GB"/>
        </w:rPr>
      </w:pPr>
      <w:r>
        <w:rPr>
          <w:noProof/>
          <w:sz w:val="22"/>
          <w:lang w:eastAsia="en-GB"/>
        </w:rPr>
        <w:t xml:space="preserve">Supreme Constitutional Court (2025c), </w:t>
      </w:r>
      <w:r w:rsidRPr="003C248F">
        <w:rPr>
          <w:i/>
          <w:iCs/>
          <w:noProof/>
          <w:sz w:val="22"/>
          <w:lang w:eastAsia="en-GB"/>
        </w:rPr>
        <w:t>Procedural Regulation on the Timely Delivery of Decisions by the Administrative Courts.</w:t>
      </w:r>
      <w:r w:rsidRPr="00E74715">
        <w:rPr>
          <w:noProof/>
          <w:sz w:val="22"/>
          <w:lang w:eastAsia="en-GB"/>
        </w:rPr>
        <w:t xml:space="preserve"> </w:t>
      </w:r>
      <w:r w:rsidRPr="004609DB">
        <w:rPr>
          <w:noProof/>
          <w:sz w:val="22"/>
          <w:lang w:eastAsia="en-GB"/>
        </w:rPr>
        <w:t>UN Human Rights Regional Office for Europe (OHCHR) (202</w:t>
      </w:r>
      <w:r>
        <w:rPr>
          <w:noProof/>
          <w:sz w:val="22"/>
          <w:lang w:eastAsia="en-GB"/>
        </w:rPr>
        <w:t>6</w:t>
      </w:r>
      <w:r w:rsidRPr="004609DB">
        <w:rPr>
          <w:noProof/>
          <w:sz w:val="22"/>
          <w:lang w:eastAsia="en-GB"/>
        </w:rPr>
        <w:t xml:space="preserve">), </w:t>
      </w:r>
      <w:r>
        <w:rPr>
          <w:noProof/>
          <w:sz w:val="22"/>
          <w:lang w:eastAsia="en-GB"/>
        </w:rPr>
        <w:t>Input</w:t>
      </w:r>
      <w:r w:rsidRPr="004609DB">
        <w:rPr>
          <w:noProof/>
          <w:sz w:val="22"/>
          <w:lang w:eastAsia="en-GB"/>
        </w:rPr>
        <w:t xml:space="preserve"> for the</w:t>
      </w:r>
      <w:r>
        <w:rPr>
          <w:noProof/>
          <w:sz w:val="22"/>
          <w:lang w:eastAsia="en-GB"/>
        </w:rPr>
        <w:t xml:space="preserve"> </w:t>
      </w:r>
      <w:r w:rsidRPr="004609DB">
        <w:rPr>
          <w:noProof/>
          <w:sz w:val="22"/>
          <w:lang w:eastAsia="en-GB"/>
        </w:rPr>
        <w:t>202</w:t>
      </w:r>
      <w:r>
        <w:rPr>
          <w:noProof/>
          <w:sz w:val="22"/>
          <w:lang w:eastAsia="en-GB"/>
        </w:rPr>
        <w:t>6</w:t>
      </w:r>
      <w:r w:rsidRPr="004609DB">
        <w:rPr>
          <w:noProof/>
          <w:sz w:val="22"/>
          <w:lang w:eastAsia="en-GB"/>
        </w:rPr>
        <w:t xml:space="preserve"> Rule of Law Report.</w:t>
      </w:r>
    </w:p>
    <w:p w14:paraId="11BEE193" w14:textId="77777777" w:rsidR="0040534C" w:rsidRPr="003C248F" w:rsidRDefault="0040534C" w:rsidP="0040534C">
      <w:pPr>
        <w:spacing w:after="120"/>
        <w:rPr>
          <w:i/>
          <w:iCs/>
          <w:noProof/>
          <w:sz w:val="22"/>
        </w:rPr>
      </w:pPr>
      <w:r w:rsidRPr="00AF381E">
        <w:rPr>
          <w:noProof/>
          <w:sz w:val="22"/>
          <w:lang w:eastAsia="en-GB"/>
        </w:rPr>
        <w:t xml:space="preserve">Union of Cyprus Journalists </w:t>
      </w:r>
      <w:r w:rsidRPr="003C248F">
        <w:rPr>
          <w:noProof/>
          <w:sz w:val="22"/>
          <w:lang w:eastAsia="en-GB"/>
        </w:rPr>
        <w:t>(2025a</w:t>
      </w:r>
      <w:r w:rsidRPr="003C248F">
        <w:rPr>
          <w:noProof/>
          <w:sz w:val="22"/>
        </w:rPr>
        <w:t xml:space="preserve">), </w:t>
      </w:r>
      <w:r w:rsidRPr="003C248F">
        <w:rPr>
          <w:i/>
          <w:iCs/>
          <w:noProof/>
          <w:sz w:val="22"/>
        </w:rPr>
        <w:t>Analysis of journalism research results for the Cyprus Union of Journalists July – August 2025.</w:t>
      </w:r>
    </w:p>
    <w:p w14:paraId="62E07AE0" w14:textId="77777777" w:rsidR="0040534C" w:rsidRPr="003C248F" w:rsidRDefault="0040534C" w:rsidP="0040534C">
      <w:pPr>
        <w:spacing w:after="120"/>
        <w:rPr>
          <w:i/>
          <w:iCs/>
          <w:noProof/>
          <w:sz w:val="22"/>
        </w:rPr>
      </w:pPr>
      <w:r w:rsidRPr="00AF381E">
        <w:rPr>
          <w:noProof/>
          <w:sz w:val="22"/>
          <w:lang w:eastAsia="en-GB"/>
        </w:rPr>
        <w:t xml:space="preserve">Union of Cyprus Journalists </w:t>
      </w:r>
      <w:r w:rsidRPr="003C248F">
        <w:rPr>
          <w:noProof/>
          <w:sz w:val="22"/>
          <w:lang w:eastAsia="en-GB"/>
        </w:rPr>
        <w:t>(2025b</w:t>
      </w:r>
      <w:r w:rsidRPr="003C248F">
        <w:rPr>
          <w:noProof/>
          <w:sz w:val="22"/>
        </w:rPr>
        <w:t xml:space="preserve">), </w:t>
      </w:r>
      <w:r w:rsidRPr="003C248F">
        <w:rPr>
          <w:i/>
          <w:iCs/>
          <w:noProof/>
          <w:sz w:val="22"/>
        </w:rPr>
        <w:t>Analysis of public opinion survey results on the topic of information for the Cyprus Union of Journalists July – August 2025.</w:t>
      </w:r>
    </w:p>
    <w:p w14:paraId="58D6BF3C" w14:textId="77777777" w:rsidR="0040534C" w:rsidRPr="00396960" w:rsidRDefault="0040534C" w:rsidP="0040534C">
      <w:pPr>
        <w:pageBreakBefore/>
        <w:spacing w:after="120" w:line="264" w:lineRule="auto"/>
        <w:rPr>
          <w:b/>
          <w:noProof/>
          <w:lang w:eastAsia="en-GB"/>
        </w:rPr>
      </w:pPr>
      <w:r w:rsidRPr="00396960">
        <w:rPr>
          <w:b/>
          <w:noProof/>
          <w:lang w:eastAsia="en-GB"/>
        </w:rPr>
        <w:t xml:space="preserve">Annex II: Country visit to </w:t>
      </w:r>
      <w:r>
        <w:rPr>
          <w:b/>
          <w:noProof/>
          <w:lang w:eastAsia="en-GB"/>
        </w:rPr>
        <w:t>Cyprus</w:t>
      </w:r>
    </w:p>
    <w:p w14:paraId="41735529" w14:textId="77777777" w:rsidR="0040534C" w:rsidRPr="00396960" w:rsidRDefault="0040534C" w:rsidP="0040534C">
      <w:pPr>
        <w:spacing w:after="120" w:line="264" w:lineRule="auto"/>
        <w:rPr>
          <w:noProof/>
          <w:shd w:val="clear" w:color="auto" w:fill="FFFFFF"/>
          <w:lang w:eastAsia="en-GB"/>
        </w:rPr>
      </w:pPr>
      <w:r w:rsidRPr="00396960">
        <w:rPr>
          <w:noProof/>
          <w:lang w:eastAsia="en-GB"/>
        </w:rPr>
        <w:t>The Commission services held meetings in</w:t>
      </w:r>
      <w:r>
        <w:rPr>
          <w:noProof/>
          <w:lang w:eastAsia="en-GB"/>
        </w:rPr>
        <w:t xml:space="preserve"> Nicosia in January</w:t>
      </w:r>
      <w:r w:rsidRPr="00396960">
        <w:rPr>
          <w:noProof/>
          <w:lang w:eastAsia="en-GB"/>
        </w:rPr>
        <w:t xml:space="preserve"> 2026 with:</w:t>
      </w:r>
    </w:p>
    <w:p w14:paraId="0096E31C" w14:textId="77777777" w:rsidR="0040534C"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Association of Judges</w:t>
      </w:r>
    </w:p>
    <w:p w14:paraId="37935B26" w14:textId="77777777" w:rsidR="0040534C" w:rsidRPr="000B3D1F" w:rsidRDefault="0040534C" w:rsidP="0040534C">
      <w:pPr>
        <w:numPr>
          <w:ilvl w:val="0"/>
          <w:numId w:val="21"/>
        </w:numPr>
        <w:spacing w:after="0" w:line="256" w:lineRule="auto"/>
        <w:contextualSpacing/>
        <w:rPr>
          <w:noProof/>
          <w:szCs w:val="24"/>
          <w:bdr w:val="none" w:sz="0" w:space="0" w:color="auto" w:frame="1"/>
        </w:rPr>
      </w:pPr>
      <w:r w:rsidRPr="000B3D1F">
        <w:rPr>
          <w:noProof/>
          <w:szCs w:val="24"/>
          <w:bdr w:val="none" w:sz="0" w:space="0" w:color="auto" w:frame="1"/>
        </w:rPr>
        <w:t>Association of Lobbyists and Public Affairs Professionals (LPAP)</w:t>
      </w:r>
    </w:p>
    <w:p w14:paraId="2B1CA091"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Audit Office</w:t>
      </w:r>
    </w:p>
    <w:p w14:paraId="04489EDD"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Centre for the Rule of Law and European Values (CroLev)</w:t>
      </w:r>
    </w:p>
    <w:p w14:paraId="710342FF"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Civil Society Advocates</w:t>
      </w:r>
    </w:p>
    <w:p w14:paraId="252E321D"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Commissioner for Administration and the Protection of Human Rights</w:t>
      </w:r>
    </w:p>
    <w:p w14:paraId="78455793"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Commissioner for Citizens</w:t>
      </w:r>
    </w:p>
    <w:p w14:paraId="173DA8D4"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Commissioner for Information</w:t>
      </w:r>
    </w:p>
    <w:p w14:paraId="33827B66"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Committee of Media Ethics</w:t>
      </w:r>
    </w:p>
    <w:p w14:paraId="2FC4BC3E"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Cyprus Bar Association</w:t>
      </w:r>
    </w:p>
    <w:p w14:paraId="2976553D"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Cyprus Chamber of Commerce and Industry</w:t>
      </w:r>
    </w:p>
    <w:p w14:paraId="3BB0E046"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Cyprus Employers &amp; Industrialists Federation (OEB)</w:t>
      </w:r>
    </w:p>
    <w:p w14:paraId="0B98B27A"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Cyprus Investigative Reporting Network (CIReN)</w:t>
      </w:r>
    </w:p>
    <w:p w14:paraId="7C03AC03"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Department of Judicial Reform, Supreme Court</w:t>
      </w:r>
    </w:p>
    <w:p w14:paraId="33EAEA0C" w14:textId="77777777" w:rsidR="0040534C" w:rsidRDefault="0040534C" w:rsidP="0040534C">
      <w:pPr>
        <w:numPr>
          <w:ilvl w:val="0"/>
          <w:numId w:val="21"/>
        </w:numPr>
        <w:spacing w:after="0" w:line="256" w:lineRule="auto"/>
        <w:contextualSpacing/>
        <w:rPr>
          <w:noProof/>
          <w:szCs w:val="24"/>
          <w:bdr w:val="none" w:sz="0" w:space="0" w:color="auto" w:frame="1"/>
        </w:rPr>
      </w:pPr>
      <w:r>
        <w:rPr>
          <w:noProof/>
          <w:szCs w:val="24"/>
          <w:bdr w:val="none" w:sz="0" w:space="0" w:color="auto" w:frame="1"/>
        </w:rPr>
        <w:t>Fimonoi Foundation</w:t>
      </w:r>
    </w:p>
    <w:p w14:paraId="5621AB0B"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Independent Authority against Corruption (IAAC)</w:t>
      </w:r>
    </w:p>
    <w:p w14:paraId="64ABB948" w14:textId="77777777" w:rsidR="0040534C" w:rsidRPr="009100EA" w:rsidRDefault="0040534C" w:rsidP="0040534C">
      <w:pPr>
        <w:numPr>
          <w:ilvl w:val="0"/>
          <w:numId w:val="21"/>
        </w:numPr>
        <w:spacing w:after="0" w:line="256" w:lineRule="auto"/>
        <w:contextualSpacing/>
        <w:rPr>
          <w:noProof/>
          <w:szCs w:val="24"/>
          <w:bdr w:val="none" w:sz="0" w:space="0" w:color="auto" w:frame="1"/>
          <w:lang w:val="nn-NO"/>
        </w:rPr>
      </w:pPr>
      <w:r w:rsidRPr="009100EA">
        <w:rPr>
          <w:noProof/>
          <w:szCs w:val="24"/>
          <w:bdr w:val="none" w:sz="0" w:space="0" w:color="auto" w:frame="1"/>
          <w:lang w:val="nn-NO"/>
        </w:rPr>
        <w:t>Institute for Mass Media (IMME)</w:t>
      </w:r>
    </w:p>
    <w:p w14:paraId="2AEFFBC3" w14:textId="77777777" w:rsidR="0040534C"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Ministry of Finance</w:t>
      </w:r>
    </w:p>
    <w:p w14:paraId="539A444D"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Pr>
          <w:noProof/>
          <w:szCs w:val="24"/>
          <w:bdr w:val="none" w:sz="0" w:space="0" w:color="auto" w:frame="1"/>
        </w:rPr>
        <w:t>Ministry of Foreign Affairs</w:t>
      </w:r>
    </w:p>
    <w:p w14:paraId="603B1D5B"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Ministry of Interior</w:t>
      </w:r>
    </w:p>
    <w:p w14:paraId="56E20EAA"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Ministry of Justice and Public Order</w:t>
      </w:r>
    </w:p>
    <w:p w14:paraId="39596B19"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NGO Support Centre</w:t>
      </w:r>
    </w:p>
    <w:p w14:paraId="366E61AB"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Office of the Attorney General</w:t>
      </w:r>
    </w:p>
    <w:p w14:paraId="43A5B0D1"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OPEK</w:t>
      </w:r>
    </w:p>
    <w:p w14:paraId="467D17A5" w14:textId="77777777" w:rsidR="0040534C" w:rsidRPr="00D82626" w:rsidRDefault="0040534C" w:rsidP="0040534C">
      <w:pPr>
        <w:numPr>
          <w:ilvl w:val="0"/>
          <w:numId w:val="21"/>
        </w:numPr>
        <w:spacing w:after="0" w:line="256" w:lineRule="auto"/>
        <w:contextualSpacing/>
        <w:rPr>
          <w:noProof/>
          <w:szCs w:val="24"/>
          <w:bdr w:val="none" w:sz="0" w:space="0" w:color="auto" w:frame="1"/>
        </w:rPr>
      </w:pPr>
      <w:r w:rsidRPr="00D82626">
        <w:rPr>
          <w:noProof/>
          <w:szCs w:val="24"/>
          <w:bdr w:val="none" w:sz="0" w:space="0" w:color="auto" w:frame="1"/>
        </w:rPr>
        <w:t>Oxygen for Democracy</w:t>
      </w:r>
    </w:p>
    <w:p w14:paraId="4800E6FD"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 xml:space="preserve">Police </w:t>
      </w:r>
    </w:p>
    <w:p w14:paraId="65AA4DC7"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Press and Information Office</w:t>
      </w:r>
    </w:p>
    <w:p w14:paraId="5176AB46"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Radio-Television Authority</w:t>
      </w:r>
    </w:p>
    <w:p w14:paraId="5095906B"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Special Adviser on Ethics</w:t>
      </w:r>
    </w:p>
    <w:p w14:paraId="14D2399B"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Supreme Constitutional Court</w:t>
      </w:r>
    </w:p>
    <w:p w14:paraId="5FF8B5E4"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Supreme Court</w:t>
      </w:r>
    </w:p>
    <w:p w14:paraId="6366C9B6" w14:textId="77777777" w:rsidR="0040534C" w:rsidRPr="003137A2"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Treasury of the Republic of Cyprus</w:t>
      </w:r>
    </w:p>
    <w:p w14:paraId="79553BCE" w14:textId="77777777" w:rsidR="0040534C" w:rsidRPr="00396960" w:rsidRDefault="0040534C" w:rsidP="0040534C">
      <w:pPr>
        <w:numPr>
          <w:ilvl w:val="0"/>
          <w:numId w:val="21"/>
        </w:numPr>
        <w:spacing w:after="0" w:line="256" w:lineRule="auto"/>
        <w:contextualSpacing/>
        <w:rPr>
          <w:noProof/>
          <w:szCs w:val="24"/>
          <w:bdr w:val="none" w:sz="0" w:space="0" w:color="auto" w:frame="1"/>
        </w:rPr>
      </w:pPr>
      <w:r w:rsidRPr="003137A2">
        <w:rPr>
          <w:noProof/>
          <w:szCs w:val="24"/>
          <w:bdr w:val="none" w:sz="0" w:space="0" w:color="auto" w:frame="1"/>
        </w:rPr>
        <w:t>Union of Cyprus Journalists (ESK)</w:t>
      </w:r>
    </w:p>
    <w:p w14:paraId="55E4553B" w14:textId="77777777" w:rsidR="0040534C" w:rsidRPr="00396960" w:rsidRDefault="0040534C" w:rsidP="0040534C">
      <w:pPr>
        <w:spacing w:after="120" w:line="264" w:lineRule="auto"/>
        <w:rPr>
          <w:noProof/>
          <w:shd w:val="clear" w:color="auto" w:fill="FFFFFF"/>
          <w:lang w:eastAsia="en-GB"/>
        </w:rPr>
      </w:pPr>
    </w:p>
    <w:p w14:paraId="33A69AF7" w14:textId="77777777" w:rsidR="0040534C" w:rsidRPr="00396960" w:rsidRDefault="0040534C" w:rsidP="0040534C">
      <w:pPr>
        <w:spacing w:after="120" w:line="264" w:lineRule="auto"/>
        <w:rPr>
          <w:noProof/>
          <w:lang w:eastAsia="en-GB"/>
        </w:rPr>
      </w:pPr>
      <w:r w:rsidRPr="00396960">
        <w:rPr>
          <w:noProof/>
          <w:lang w:eastAsia="en-GB"/>
        </w:rPr>
        <w:t xml:space="preserve">* The Commission also met the following organisations in a number of horizontal meetings: </w:t>
      </w:r>
    </w:p>
    <w:p w14:paraId="1993CA1A"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Civil Liberties Union for Europe</w:t>
      </w:r>
    </w:p>
    <w:p w14:paraId="55BD0F27"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Civil Society Europe</w:t>
      </w:r>
    </w:p>
    <w:p w14:paraId="50FB1E7D"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End FGM EU</w:t>
      </w:r>
    </w:p>
    <w:p w14:paraId="4CCD7AA6"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European Civic Forum</w:t>
      </w:r>
    </w:p>
    <w:p w14:paraId="01E718F6"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European Partnership for Democracy</w:t>
      </w:r>
    </w:p>
    <w:p w14:paraId="19B54300"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Human Rights Watch</w:t>
      </w:r>
    </w:p>
    <w:p w14:paraId="59D8223B"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ILGA-Europe</w:t>
      </w:r>
    </w:p>
    <w:p w14:paraId="53A609FF" w14:textId="77777777" w:rsidR="0040534C" w:rsidRPr="00B825E3" w:rsidRDefault="0040534C" w:rsidP="0040534C">
      <w:pPr>
        <w:numPr>
          <w:ilvl w:val="0"/>
          <w:numId w:val="22"/>
        </w:numPr>
        <w:spacing w:after="0" w:line="264" w:lineRule="auto"/>
        <w:rPr>
          <w:noProof/>
          <w:lang w:val="en-IE" w:eastAsia="en-GB"/>
        </w:rPr>
      </w:pPr>
      <w:r w:rsidRPr="00B825E3">
        <w:rPr>
          <w:noProof/>
          <w:lang w:val="en-IE" w:eastAsia="en-GB"/>
        </w:rPr>
        <w:t>International Federation for Human Rights</w:t>
      </w:r>
    </w:p>
    <w:p w14:paraId="23DA704D" w14:textId="77777777" w:rsidR="0040534C" w:rsidRPr="003279D5" w:rsidRDefault="0040534C" w:rsidP="0040534C">
      <w:pPr>
        <w:numPr>
          <w:ilvl w:val="0"/>
          <w:numId w:val="22"/>
        </w:numPr>
        <w:spacing w:after="0" w:line="264" w:lineRule="auto"/>
        <w:rPr>
          <w:noProof/>
          <w:lang w:eastAsia="en-GB"/>
        </w:rPr>
      </w:pPr>
      <w:r w:rsidRPr="003279D5">
        <w:rPr>
          <w:noProof/>
          <w:lang w:val="en-IE" w:eastAsia="en-GB"/>
        </w:rPr>
        <w:t>Philea - Philanthropy Europe Association</w:t>
      </w:r>
    </w:p>
    <w:p w14:paraId="0E130CB2" w14:textId="77777777" w:rsidR="0040534C" w:rsidRPr="00396960" w:rsidRDefault="0040534C" w:rsidP="0040534C">
      <w:pPr>
        <w:numPr>
          <w:ilvl w:val="0"/>
          <w:numId w:val="22"/>
        </w:numPr>
        <w:spacing w:after="0" w:line="264" w:lineRule="auto"/>
        <w:rPr>
          <w:noProof/>
          <w:lang w:eastAsia="en-GB"/>
        </w:rPr>
      </w:pPr>
      <w:r w:rsidRPr="003279D5">
        <w:rPr>
          <w:noProof/>
          <w:lang w:val="en-IE" w:eastAsia="en-GB"/>
        </w:rPr>
        <w:t xml:space="preserve">Transparency International EU </w:t>
      </w:r>
    </w:p>
    <w:p w14:paraId="0BDAD086" w14:textId="77777777" w:rsidR="0040534C" w:rsidRPr="00396960" w:rsidRDefault="0040534C" w:rsidP="0040534C">
      <w:pPr>
        <w:spacing w:after="120"/>
        <w:ind w:left="284" w:hanging="284"/>
        <w:rPr>
          <w:noProof/>
          <w:lang w:eastAsia="en-GB"/>
        </w:rPr>
      </w:pPr>
    </w:p>
    <w:p w14:paraId="647E5F92" w14:textId="77777777" w:rsidR="0040534C" w:rsidRPr="00396960" w:rsidRDefault="0040534C" w:rsidP="0040534C">
      <w:pPr>
        <w:spacing w:after="0"/>
        <w:rPr>
          <w:noProof/>
          <w:lang w:eastAsia="en-GB"/>
        </w:rPr>
      </w:pPr>
    </w:p>
    <w:p w14:paraId="5F255B66" w14:textId="77777777" w:rsidR="0040534C" w:rsidRPr="00396960" w:rsidRDefault="0040534C" w:rsidP="0040534C">
      <w:pPr>
        <w:rPr>
          <w:noProof/>
        </w:rPr>
      </w:pPr>
    </w:p>
    <w:p w14:paraId="37303F75" w14:textId="77777777" w:rsidR="0040534C" w:rsidRPr="005817FA" w:rsidRDefault="0040534C" w:rsidP="0040534C">
      <w:pPr>
        <w:rPr>
          <w:noProof/>
          <w:lang w:val="en-IE"/>
        </w:rPr>
      </w:pPr>
    </w:p>
    <w:p w14:paraId="7C71BB12" w14:textId="77777777" w:rsidR="00CD604B" w:rsidRDefault="00CD604B" w:rsidP="00B51782">
      <w:pPr>
        <w:rPr>
          <w:noProof/>
        </w:rPr>
      </w:pPr>
    </w:p>
    <w:sectPr w:rsidR="00CD604B" w:rsidSect="0040534C">
      <w:headerReference w:type="even" r:id="rId41"/>
      <w:headerReference w:type="default" r:id="rId42"/>
      <w:footerReference w:type="even" r:id="rId43"/>
      <w:footerReference w:type="default" r:id="rId44"/>
      <w:headerReference w:type="first" r:id="rId45"/>
      <w:footerReference w:type="first" r:id="rId46"/>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C893C" w14:textId="77777777" w:rsidR="0041442E" w:rsidRDefault="0041442E">
      <w:pPr>
        <w:spacing w:after="0"/>
      </w:pPr>
      <w:r>
        <w:separator/>
      </w:r>
    </w:p>
  </w:endnote>
  <w:endnote w:type="continuationSeparator" w:id="0">
    <w:p w14:paraId="369DEBDE" w14:textId="77777777" w:rsidR="0041442E" w:rsidRDefault="004144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9E3CE" w14:textId="508A2986" w:rsidR="00855C58" w:rsidRPr="00855C58" w:rsidRDefault="00855C58" w:rsidP="00855C58">
    <w:pPr>
      <w:pStyle w:val="FooterCoverPage"/>
      <w:rPr>
        <w:rFonts w:ascii="Arial" w:hAnsi="Arial" w:cs="Arial"/>
        <w:b/>
        <w:sz w:val="48"/>
      </w:rPr>
    </w:pPr>
    <w:r w:rsidRPr="00855C58">
      <w:rPr>
        <w:rFonts w:ascii="Arial" w:hAnsi="Arial" w:cs="Arial"/>
        <w:b/>
        <w:sz w:val="48"/>
      </w:rPr>
      <w:t>EN</w:t>
    </w:r>
    <w:r w:rsidRPr="00855C58">
      <w:rPr>
        <w:rFonts w:ascii="Arial" w:hAnsi="Arial" w:cs="Arial"/>
        <w:b/>
        <w:sz w:val="48"/>
      </w:rPr>
      <w:tab/>
    </w:r>
    <w:r w:rsidRPr="00855C58">
      <w:rPr>
        <w:rFonts w:ascii="Arial" w:hAnsi="Arial" w:cs="Arial"/>
        <w:b/>
        <w:sz w:val="48"/>
      </w:rPr>
      <w:tab/>
    </w:r>
    <w:r w:rsidRPr="00855C58">
      <w:tab/>
    </w:r>
    <w:r w:rsidRPr="00855C5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D89E7" w14:textId="034BD298" w:rsidR="00855C58" w:rsidRPr="00855C58" w:rsidRDefault="00855C58" w:rsidP="00855C58">
    <w:pPr>
      <w:pStyle w:val="FooterCoverPage"/>
      <w:rPr>
        <w:rFonts w:ascii="Arial" w:hAnsi="Arial" w:cs="Arial"/>
        <w:b/>
        <w:sz w:val="48"/>
      </w:rPr>
    </w:pPr>
    <w:r w:rsidRPr="00855C58">
      <w:rPr>
        <w:rFonts w:ascii="Arial" w:hAnsi="Arial" w:cs="Arial"/>
        <w:b/>
        <w:sz w:val="48"/>
      </w:rPr>
      <w:t>EN</w:t>
    </w:r>
    <w:r w:rsidRPr="00855C58">
      <w:rPr>
        <w:rFonts w:ascii="Arial" w:hAnsi="Arial" w:cs="Arial"/>
        <w:b/>
        <w:sz w:val="48"/>
      </w:rPr>
      <w:tab/>
    </w:r>
    <w:r w:rsidRPr="00855C58">
      <w:rPr>
        <w:rFonts w:ascii="Arial" w:hAnsi="Arial" w:cs="Arial"/>
        <w:b/>
        <w:sz w:val="48"/>
      </w:rPr>
      <w:tab/>
    </w:r>
    <w:r w:rsidRPr="00855C58">
      <w:tab/>
    </w:r>
    <w:r w:rsidRPr="00855C5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830F5" w14:textId="77777777" w:rsidR="00855C58" w:rsidRPr="00855C58" w:rsidRDefault="00855C58" w:rsidP="00855C5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ADB2B" w14:textId="77777777" w:rsidR="0040534C" w:rsidRPr="00396960" w:rsidRDefault="004053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81777622"/>
      <w:docPartObj>
        <w:docPartGallery w:val="Page Numbers (Bottom of Page)"/>
        <w:docPartUnique/>
      </w:docPartObj>
    </w:sdtPr>
    <w:sdtEndPr/>
    <w:sdtContent>
      <w:p w14:paraId="000B65D0" w14:textId="470B6D47" w:rsidR="0040534C" w:rsidRPr="0040534C" w:rsidRDefault="0040534C">
        <w:pPr>
          <w:pStyle w:val="Footer"/>
          <w:jc w:val="center"/>
          <w:rPr>
            <w:sz w:val="24"/>
            <w:szCs w:val="24"/>
          </w:rPr>
        </w:pPr>
        <w:r w:rsidRPr="0040534C">
          <w:rPr>
            <w:sz w:val="24"/>
            <w:szCs w:val="24"/>
          </w:rPr>
          <w:fldChar w:fldCharType="begin"/>
        </w:r>
        <w:r w:rsidRPr="0040534C">
          <w:rPr>
            <w:sz w:val="24"/>
            <w:szCs w:val="24"/>
          </w:rPr>
          <w:instrText xml:space="preserve"> PAGE   \* MERGEFORMAT </w:instrText>
        </w:r>
        <w:r w:rsidRPr="0040534C">
          <w:rPr>
            <w:sz w:val="24"/>
            <w:szCs w:val="24"/>
          </w:rPr>
          <w:fldChar w:fldCharType="separate"/>
        </w:r>
        <w:r w:rsidR="00855C58">
          <w:rPr>
            <w:noProof/>
            <w:sz w:val="24"/>
            <w:szCs w:val="24"/>
          </w:rPr>
          <w:t>2</w:t>
        </w:r>
        <w:r w:rsidRPr="0040534C">
          <w:rPr>
            <w:sz w:val="24"/>
            <w:szCs w:val="24"/>
          </w:rPr>
          <w:fldChar w:fldCharType="end"/>
        </w:r>
      </w:p>
    </w:sdtContent>
  </w:sdt>
  <w:p w14:paraId="504D8FD0" w14:textId="77777777" w:rsidR="0040534C" w:rsidRPr="00396960" w:rsidRDefault="0040534C">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1ACBE273" w14:textId="77777777" w:rsidR="0040534C" w:rsidRPr="00396960" w:rsidRDefault="0040534C">
        <w:pPr>
          <w:pStyle w:val="Footer"/>
          <w:jc w:val="center"/>
        </w:pPr>
      </w:p>
      <w:p w14:paraId="1ABB15EB" w14:textId="77777777" w:rsidR="0040534C" w:rsidRPr="00396960" w:rsidRDefault="0040534C">
        <w:pPr>
          <w:pStyle w:val="Footer"/>
          <w:jc w:val="center"/>
        </w:pPr>
      </w:p>
      <w:p w14:paraId="16449E6F" w14:textId="77777777" w:rsidR="0040534C" w:rsidRPr="00396960" w:rsidRDefault="0040534C">
        <w:pPr>
          <w:pStyle w:val="Footer"/>
          <w:jc w:val="center"/>
        </w:pPr>
        <w:r w:rsidRPr="00396960">
          <w:fldChar w:fldCharType="begin"/>
        </w:r>
        <w:r w:rsidRPr="00396960">
          <w:instrText xml:space="preserve"> PAGE   \* MERGEFORMAT </w:instrText>
        </w:r>
        <w:r w:rsidRPr="00396960">
          <w:fldChar w:fldCharType="separate"/>
        </w:r>
        <w:r w:rsidRPr="00396960">
          <w:t>3</w:t>
        </w:r>
        <w:r w:rsidRPr="00396960">
          <w:fldChar w:fldCharType="end"/>
        </w:r>
      </w:p>
    </w:sdtContent>
  </w:sdt>
  <w:p w14:paraId="617EB56E" w14:textId="77777777" w:rsidR="0040534C" w:rsidRPr="00396960" w:rsidRDefault="0040534C"/>
  <w:p w14:paraId="55032423" w14:textId="77777777" w:rsidR="0040534C" w:rsidRPr="00396960" w:rsidRDefault="0040534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1F83C" w14:textId="77777777" w:rsidR="0041442E" w:rsidRDefault="0041442E">
      <w:pPr>
        <w:spacing w:after="0"/>
      </w:pPr>
      <w:r>
        <w:separator/>
      </w:r>
    </w:p>
  </w:footnote>
  <w:footnote w:type="continuationSeparator" w:id="0">
    <w:p w14:paraId="7BE5E45C" w14:textId="77777777" w:rsidR="0041442E" w:rsidRDefault="0041442E">
      <w:pPr>
        <w:spacing w:after="0"/>
      </w:pPr>
      <w:r>
        <w:continuationSeparator/>
      </w:r>
    </w:p>
  </w:footnote>
  <w:footnote w:id="1">
    <w:p w14:paraId="50FF3874" w14:textId="1760E347" w:rsidR="0040534C" w:rsidRPr="00396960" w:rsidRDefault="0040534C" w:rsidP="00FE3FE5">
      <w:pPr>
        <w:pStyle w:val="FootnoteText"/>
      </w:pPr>
      <w:r w:rsidRPr="00396960">
        <w:rPr>
          <w:rStyle w:val="FootnoteReference"/>
        </w:rPr>
        <w:footnoteRef/>
      </w:r>
      <w:r w:rsidRPr="00396960">
        <w:rPr>
          <w:rStyle w:val="FootnoteReference"/>
        </w:rPr>
        <w:tab/>
      </w:r>
      <w:r w:rsidRPr="00396960">
        <w:t xml:space="preserve">An overview of the institutional framework for all four pillars can be found </w:t>
      </w:r>
      <w:hyperlink r:id="rId1" w:history="1">
        <w:r w:rsidR="00B87221" w:rsidRPr="006D3DC9">
          <w:rPr>
            <w:rStyle w:val="Hyperlink"/>
            <w:lang w:val="en-US"/>
          </w:rPr>
          <w:t>here</w:t>
        </w:r>
      </w:hyperlink>
      <w:r w:rsidRPr="00027E69">
        <w:t>.</w:t>
      </w:r>
      <w:r w:rsidRPr="00396960">
        <w:t> </w:t>
      </w:r>
    </w:p>
  </w:footnote>
  <w:footnote w:id="2">
    <w:p w14:paraId="6A25A8E2" w14:textId="77777777" w:rsidR="0040534C" w:rsidRPr="00AF6756" w:rsidRDefault="0040534C" w:rsidP="00FE3FE5">
      <w:pPr>
        <w:pStyle w:val="FootnoteText"/>
      </w:pPr>
      <w:r w:rsidRPr="00AF6756">
        <w:rPr>
          <w:rStyle w:val="FootnoteReference"/>
        </w:rPr>
        <w:footnoteRef/>
      </w:r>
      <w:r w:rsidRPr="00AF6756">
        <w:t xml:space="preserve"> </w:t>
      </w:r>
      <w:r w:rsidRPr="00AF6756">
        <w:tab/>
        <w:t>Figures 48 and 50, 2026 EU Justice Scoreboard and Figures 51 and 53, 202</w:t>
      </w:r>
      <w:r>
        <w:t>5</w:t>
      </w:r>
      <w:r w:rsidRPr="00AF6756">
        <w:t xml:space="preserve">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1CCD1C6"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The 2025 Rule of Law Report recommended to Cyprus to </w:t>
      </w:r>
      <w:r>
        <w:t>“</w:t>
      </w:r>
      <w:r w:rsidRPr="00396960">
        <w:t>further advance with the ongoing reform of the Law Office and the establishment of the Office of the Public Prosecutor General</w:t>
      </w:r>
      <w:r>
        <w:t>”</w:t>
      </w:r>
      <w:r w:rsidRPr="00396960">
        <w:t>.</w:t>
      </w:r>
      <w:r>
        <w:t xml:space="preserve"> Some progress was previously assessed on this recommendation </w:t>
      </w:r>
      <w:r w:rsidRPr="00D85D7F">
        <w:t>in 2024 and 2025</w:t>
      </w:r>
      <w:r>
        <w:t xml:space="preserve">. </w:t>
      </w:r>
    </w:p>
  </w:footnote>
  <w:footnote w:id="4">
    <w:p w14:paraId="69987371" w14:textId="65530E36" w:rsidR="0040534C" w:rsidRPr="00396960" w:rsidRDefault="0040534C" w:rsidP="00FE3FE5">
      <w:pPr>
        <w:pStyle w:val="FootnoteText"/>
      </w:pPr>
      <w:r w:rsidRPr="00396960">
        <w:rPr>
          <w:rStyle w:val="FootnoteReference"/>
        </w:rPr>
        <w:footnoteRef/>
      </w:r>
      <w:r w:rsidRPr="00396960">
        <w:t xml:space="preserve"> </w:t>
      </w:r>
      <w:r w:rsidRPr="00396960">
        <w:tab/>
        <w:t xml:space="preserve">Cypriot </w:t>
      </w:r>
      <w:r>
        <w:t>G</w:t>
      </w:r>
      <w:r w:rsidRPr="00396960">
        <w:t>overnment (2026), written input, p. 3-5. 2025 Rule of Law Report, Cyprus, pp. 3-4.</w:t>
      </w:r>
    </w:p>
  </w:footnote>
  <w:footnote w:id="5">
    <w:p w14:paraId="1891A014" w14:textId="77777777" w:rsidR="0040534C" w:rsidRPr="00396960" w:rsidRDefault="0040534C" w:rsidP="00FE3FE5">
      <w:pPr>
        <w:pStyle w:val="FootnoteText"/>
      </w:pPr>
      <w:r w:rsidRPr="00396960">
        <w:rPr>
          <w:rStyle w:val="FootnoteReference"/>
        </w:rPr>
        <w:footnoteRef/>
      </w:r>
      <w:r w:rsidRPr="00396960">
        <w:t xml:space="preserve"> </w:t>
      </w:r>
      <w:r w:rsidRPr="00396960">
        <w:tab/>
        <w:t>This part of the reform is planned to enter into force in December 2027, provided it is adopted by Parliament, Country visit</w:t>
      </w:r>
      <w:r>
        <w:t xml:space="preserve"> Cyprus</w:t>
      </w:r>
      <w:r w:rsidRPr="00396960">
        <w:t xml:space="preserve">, Ministry of Justice. </w:t>
      </w:r>
    </w:p>
  </w:footnote>
  <w:footnote w:id="6">
    <w:p w14:paraId="25B6D391"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The 2025 Rule of Law Report recommended to Cyprus to </w:t>
      </w:r>
      <w:r>
        <w:t xml:space="preserve">“establish an effective review of decisions not to prosecute or to discontinue proceedings, taking into account European standards on independence and autonomy of the prosecution”. </w:t>
      </w:r>
      <w:r w:rsidRPr="0090398F">
        <w:t xml:space="preserve">Limited progress was previously assessed on this recommendation </w:t>
      </w:r>
      <w:r w:rsidRPr="00D47AB5">
        <w:t>in 2025 and some progress in 2024.</w:t>
      </w:r>
    </w:p>
  </w:footnote>
  <w:footnote w:id="7">
    <w:p w14:paraId="71DF3345"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Cypriot </w:t>
      </w:r>
      <w:r>
        <w:t>G</w:t>
      </w:r>
      <w:r w:rsidRPr="00396960">
        <w:t xml:space="preserve">overnment (2026), written input, pp. 3-6. The bill was discussed extensively among the Ministry of Justice, the Attorney General and the Supreme Court. </w:t>
      </w:r>
    </w:p>
  </w:footnote>
  <w:footnote w:id="8">
    <w:p w14:paraId="5D5C674B" w14:textId="77777777" w:rsidR="00152EB9" w:rsidRPr="008A7E42" w:rsidRDefault="00152EB9" w:rsidP="00152EB9">
      <w:pPr>
        <w:pStyle w:val="FootnoteText"/>
        <w:rPr>
          <w:lang w:val="en-IE"/>
        </w:rPr>
      </w:pPr>
      <w:r>
        <w:rPr>
          <w:rStyle w:val="FootnoteReference"/>
        </w:rPr>
        <w:footnoteRef/>
      </w:r>
      <w:r w:rsidRPr="001C1E68">
        <w:rPr>
          <w:lang w:val="en-IE"/>
        </w:rPr>
        <w:t xml:space="preserve"> </w:t>
      </w:r>
      <w:r w:rsidRPr="001C1E68">
        <w:rPr>
          <w:lang w:val="en-IE"/>
        </w:rPr>
        <w:tab/>
        <w:t>Venice Commission (2010), para. 45</w:t>
      </w:r>
      <w:r>
        <w:rPr>
          <w:lang w:val="en-IE"/>
        </w:rPr>
        <w:t xml:space="preserve"> and </w:t>
      </w:r>
      <w:r w:rsidRPr="008A7E42">
        <w:rPr>
          <w:lang w:val="en-IE"/>
        </w:rPr>
        <w:t>(201</w:t>
      </w:r>
      <w:r>
        <w:rPr>
          <w:lang w:val="en-IE"/>
        </w:rPr>
        <w:t>8</w:t>
      </w:r>
      <w:r w:rsidRPr="008A7E42">
        <w:rPr>
          <w:lang w:val="en-IE"/>
        </w:rPr>
        <w:t xml:space="preserve">), para. </w:t>
      </w:r>
      <w:r>
        <w:rPr>
          <w:lang w:val="en-IE"/>
        </w:rPr>
        <w:t>67</w:t>
      </w:r>
      <w:r w:rsidRPr="008A7E42">
        <w:rPr>
          <w:lang w:val="en-IE"/>
        </w:rPr>
        <w:t>; Council of Europe</w:t>
      </w:r>
      <w:r>
        <w:rPr>
          <w:lang w:val="en-IE"/>
        </w:rPr>
        <w:t xml:space="preserve">: </w:t>
      </w:r>
      <w:r w:rsidRPr="008A7E42">
        <w:rPr>
          <w:lang w:val="en-IE"/>
        </w:rPr>
        <w:t>Committee of Ministers (2000), para. 34.</w:t>
      </w:r>
    </w:p>
  </w:footnote>
  <w:footnote w:id="9">
    <w:p w14:paraId="1ABED6DA" w14:textId="77777777" w:rsidR="0040534C" w:rsidRPr="00396960" w:rsidRDefault="0040534C" w:rsidP="00FE3FE5">
      <w:pPr>
        <w:pStyle w:val="FootnoteText"/>
      </w:pPr>
      <w:r w:rsidRPr="00396960">
        <w:rPr>
          <w:rStyle w:val="FootnoteReference"/>
        </w:rPr>
        <w:footnoteRef/>
      </w:r>
      <w:r w:rsidRPr="00396960">
        <w:t xml:space="preserve"> </w:t>
      </w:r>
      <w:r w:rsidRPr="00396960">
        <w:tab/>
        <w:t>Th</w:t>
      </w:r>
      <w:r>
        <w:t>is</w:t>
      </w:r>
      <w:r w:rsidRPr="00396960">
        <w:t xml:space="preserve"> proposal presupposes</w:t>
      </w:r>
      <w:r w:rsidRPr="00396960">
        <w:rPr>
          <w:b/>
          <w:bCs/>
          <w:lang w:eastAsia="fr-FR"/>
        </w:rPr>
        <w:t> </w:t>
      </w:r>
      <w:r w:rsidRPr="00396960">
        <w:rPr>
          <w:lang w:eastAsia="fr-FR"/>
        </w:rPr>
        <w:t>maintaining the Attorney General’s dual role and establishes a Special Committee, composed of a retired judge, two senior prosecutors and a senior expert on law and human rights, that would issue non-binding recommendations to the Attorney General.</w:t>
      </w:r>
      <w:r w:rsidRPr="00396960">
        <w:rPr>
          <w:b/>
          <w:bCs/>
          <w:lang w:eastAsia="fr-FR"/>
        </w:rPr>
        <w:t xml:space="preserve">  </w:t>
      </w:r>
    </w:p>
  </w:footnote>
  <w:footnote w:id="10">
    <w:p w14:paraId="490A0EE0" w14:textId="4BC3A94D" w:rsidR="0040534C" w:rsidRPr="00396960" w:rsidRDefault="0040534C" w:rsidP="00FE3FE5">
      <w:pPr>
        <w:pStyle w:val="FootnoteText"/>
      </w:pPr>
      <w:r w:rsidRPr="00396960">
        <w:rPr>
          <w:rStyle w:val="FootnoteReference"/>
        </w:rPr>
        <w:footnoteRef/>
      </w:r>
      <w:r w:rsidRPr="00396960">
        <w:t xml:space="preserve"> </w:t>
      </w:r>
      <w:r w:rsidRPr="00396960">
        <w:tab/>
        <w:t>The administrative court of appeal is currently composed of three judges</w:t>
      </w:r>
      <w:r w:rsidR="00A60500">
        <w:t>,</w:t>
      </w:r>
      <w:r w:rsidRPr="00396960">
        <w:t xml:space="preserve"> all transferred from the Court of Appeal</w:t>
      </w:r>
      <w:r w:rsidR="004B6818">
        <w:t xml:space="preserve"> (now dealing only with civil and criminal matters)</w:t>
      </w:r>
      <w:r w:rsidR="00A60500">
        <w:t xml:space="preserve">. The latter </w:t>
      </w:r>
      <w:r w:rsidR="00B33FB1">
        <w:t>re</w:t>
      </w:r>
      <w:r w:rsidR="00CA6E16">
        <w:t xml:space="preserve">tained </w:t>
      </w:r>
      <w:r w:rsidR="004B6818">
        <w:t>its</w:t>
      </w:r>
      <w:r w:rsidR="00CA6E16">
        <w:t xml:space="preserve"> number of judges </w:t>
      </w:r>
      <w:r w:rsidR="00590A22">
        <w:t>of</w:t>
      </w:r>
      <w:r w:rsidR="00CA6E16">
        <w:t xml:space="preserve"> 16</w:t>
      </w:r>
      <w:r w:rsidR="009B0B04">
        <w:t xml:space="preserve">. The </w:t>
      </w:r>
      <w:r w:rsidRPr="00396960">
        <w:t xml:space="preserve">total number </w:t>
      </w:r>
      <w:r w:rsidR="009B0B04">
        <w:t xml:space="preserve">of judges serving </w:t>
      </w:r>
      <w:r w:rsidR="004B6818">
        <w:t>at</w:t>
      </w:r>
      <w:r w:rsidR="009B0B04">
        <w:t xml:space="preserve"> the </w:t>
      </w:r>
      <w:r w:rsidR="004B6818">
        <w:t>administrative</w:t>
      </w:r>
      <w:r w:rsidR="009B0B04">
        <w:t xml:space="preserve"> court of appeal </w:t>
      </w:r>
      <w:r w:rsidRPr="00396960">
        <w:t xml:space="preserve">can be expanded to six judges. Judicial Service (2026), written input, p. 1. </w:t>
      </w:r>
      <w:r>
        <w:t>For the 2023 reform of the court system, 2023 Rule of Law Report, Cyprus, p. 3.</w:t>
      </w:r>
    </w:p>
  </w:footnote>
  <w:footnote w:id="11">
    <w:p w14:paraId="21E976E0" w14:textId="18E247F4" w:rsidR="0040534C" w:rsidRPr="005475D7" w:rsidRDefault="0040534C" w:rsidP="00FE3FE5">
      <w:pPr>
        <w:pStyle w:val="FootnoteText"/>
        <w:rPr>
          <w:lang w:val="en-IE"/>
        </w:rPr>
      </w:pPr>
      <w:r>
        <w:rPr>
          <w:rStyle w:val="FootnoteReference"/>
        </w:rPr>
        <w:footnoteRef/>
      </w:r>
      <w:r>
        <w:t xml:space="preserve"> </w:t>
      </w:r>
      <w:r>
        <w:tab/>
      </w:r>
      <w:r w:rsidRPr="005475D7">
        <w:t xml:space="preserve">It </w:t>
      </w:r>
      <w:r w:rsidRPr="005475D7">
        <w:rPr>
          <w:bCs/>
          <w:lang w:eastAsia="fr-FR"/>
        </w:rPr>
        <w:t>issued the necessary regulations for its functioning, including on disciplinary matters,</w:t>
      </w:r>
      <w:r w:rsidRPr="005475D7">
        <w:t xml:space="preserve"> Judicial Service (2026), </w:t>
      </w:r>
      <w:r w:rsidRPr="005475D7">
        <w:rPr>
          <w:bCs/>
          <w:lang w:eastAsia="fr-FR"/>
        </w:rPr>
        <w:t>pp. 2 and 4.</w:t>
      </w:r>
      <w:r w:rsidRPr="005475D7">
        <w:t xml:space="preserve"> </w:t>
      </w:r>
      <w:r w:rsidRPr="005475D7" w:rsidDel="00E05EF9">
        <w:rPr>
          <w:bCs/>
          <w:lang w:val="en-IE" w:eastAsia="fr-FR"/>
        </w:rPr>
        <w:t>Its</w:t>
      </w:r>
      <w:r w:rsidRPr="005475D7" w:rsidDel="00E05EF9">
        <w:rPr>
          <w:bCs/>
          <w:lang w:eastAsia="fr-FR"/>
        </w:rPr>
        <w:t xml:space="preserve"> decisions are subject to judicial review by the Supreme </w:t>
      </w:r>
      <w:r w:rsidR="000A68DD">
        <w:rPr>
          <w:bCs/>
          <w:lang w:eastAsia="fr-FR"/>
        </w:rPr>
        <w:t>Judicial Council</w:t>
      </w:r>
      <w:r w:rsidRPr="005475D7">
        <w:rPr>
          <w:bCs/>
          <w:lang w:eastAsia="fr-FR"/>
        </w:rPr>
        <w:t xml:space="preserve">. </w:t>
      </w:r>
    </w:p>
  </w:footnote>
  <w:footnote w:id="12">
    <w:p w14:paraId="4AED45AE" w14:textId="3E65A266" w:rsidR="00AB06DA" w:rsidRPr="009D05C9" w:rsidRDefault="00AB06DA">
      <w:pPr>
        <w:pStyle w:val="FootnoteText"/>
        <w:rPr>
          <w:lang w:val="en-US"/>
        </w:rPr>
      </w:pPr>
      <w:r>
        <w:rPr>
          <w:rStyle w:val="FootnoteReference"/>
        </w:rPr>
        <w:footnoteRef/>
      </w:r>
      <w:r>
        <w:tab/>
      </w:r>
      <w:r w:rsidR="005862D6">
        <w:t>The judicial r</w:t>
      </w:r>
      <w:r w:rsidR="009D05C9" w:rsidRPr="00387447">
        <w:t xml:space="preserve">eview is </w:t>
      </w:r>
      <w:r w:rsidR="005862D6" w:rsidRPr="005862D6">
        <w:t>confined to the legality of the decision and the sufficiency of its reasoning and does not extend to the merits</w:t>
      </w:r>
      <w:r w:rsidR="009D05C9" w:rsidRPr="00387447">
        <w:t>.</w:t>
      </w:r>
      <w:r w:rsidR="005862D6">
        <w:t xml:space="preserve"> </w:t>
      </w:r>
      <w:r w:rsidR="00387447">
        <w:t>Cypriot Government (2026c).</w:t>
      </w:r>
    </w:p>
  </w:footnote>
  <w:footnote w:id="13">
    <w:p w14:paraId="14823E81" w14:textId="3BEF187C" w:rsidR="0040534C" w:rsidRPr="005475D7" w:rsidRDefault="0040534C" w:rsidP="00FE3FE5">
      <w:pPr>
        <w:pStyle w:val="FootnoteText"/>
      </w:pPr>
      <w:r w:rsidRPr="005475D7">
        <w:rPr>
          <w:rStyle w:val="FootnoteReference"/>
        </w:rPr>
        <w:footnoteRef/>
      </w:r>
      <w:r w:rsidRPr="005475D7">
        <w:t xml:space="preserve"> </w:t>
      </w:r>
      <w:r w:rsidRPr="005475D7">
        <w:tab/>
        <w:t xml:space="preserve">Following the reform, the Supreme </w:t>
      </w:r>
      <w:r w:rsidR="004A3D13">
        <w:t xml:space="preserve">Judicial </w:t>
      </w:r>
      <w:r w:rsidRPr="005475D7">
        <w:t xml:space="preserve">Council retains its competences over judges of civil and criminal courts. </w:t>
      </w:r>
      <w:r w:rsidRPr="005475D7">
        <w:rPr>
          <w:bCs/>
          <w:lang w:eastAsia="fr-FR"/>
        </w:rPr>
        <w:t>2025 Rule of Law Report, Cyprus, p. 5.</w:t>
      </w:r>
    </w:p>
  </w:footnote>
  <w:footnote w:id="14">
    <w:p w14:paraId="63A48725" w14:textId="3FA52088" w:rsidR="0040534C" w:rsidRPr="005475D7" w:rsidRDefault="0040534C" w:rsidP="00FE3FE5">
      <w:pPr>
        <w:pStyle w:val="FootnoteText"/>
        <w:rPr>
          <w:lang w:val="en-US"/>
        </w:rPr>
      </w:pPr>
      <w:r w:rsidRPr="005475D7">
        <w:rPr>
          <w:rStyle w:val="FootnoteReference"/>
        </w:rPr>
        <w:footnoteRef/>
      </w:r>
      <w:r w:rsidRPr="005475D7">
        <w:t xml:space="preserve"> </w:t>
      </w:r>
      <w:r w:rsidRPr="005475D7">
        <w:tab/>
        <w:t>The non-judicial members</w:t>
      </w:r>
      <w:r>
        <w:t xml:space="preserve"> </w:t>
      </w:r>
      <w:r w:rsidR="00771415">
        <w:t xml:space="preserve">are </w:t>
      </w:r>
      <w:r w:rsidRPr="005475D7">
        <w:t xml:space="preserve">the Attorney General, the President of the Bar association and two experienced lawyers. 2023 Rule of Law Report, Cyprus, pp. 5-6. </w:t>
      </w:r>
    </w:p>
  </w:footnote>
  <w:footnote w:id="15">
    <w:p w14:paraId="39E17DB1" w14:textId="77777777" w:rsidR="0040534C" w:rsidRPr="00B471F3" w:rsidRDefault="0040534C" w:rsidP="00FE3FE5">
      <w:pPr>
        <w:pStyle w:val="FootnoteText"/>
        <w:rPr>
          <w:lang w:val="en-US"/>
        </w:rPr>
      </w:pPr>
      <w:r w:rsidRPr="005475D7">
        <w:rPr>
          <w:rStyle w:val="FootnoteReference"/>
        </w:rPr>
        <w:footnoteRef/>
      </w:r>
      <w:r w:rsidRPr="005475D7">
        <w:t xml:space="preserve"> </w:t>
      </w:r>
      <w:r w:rsidRPr="005475D7">
        <w:tab/>
        <w:t>Supreme Constitutional Council (2026), Decision 2/2025.</w:t>
      </w:r>
      <w:r w:rsidRPr="0071095D">
        <w:t xml:space="preserve"> The Cyprus Bar Association expressed concerns, arguing that the institutional presence of non-judicial members is essential for transparency and legitimacy in appointments and promotions, and announcing the Bar’s intention to advocate for a legislative amendment to formally secure that participation</w:t>
      </w:r>
      <w:r>
        <w:t xml:space="preserve">. </w:t>
      </w:r>
      <w:r>
        <w:rPr>
          <w:bCs/>
          <w:lang w:val="en-IE" w:eastAsia="fr-FR"/>
        </w:rPr>
        <w:t>CBA (2026b).</w:t>
      </w:r>
    </w:p>
  </w:footnote>
  <w:footnote w:id="16">
    <w:p w14:paraId="7EBF3E6E" w14:textId="5B49560F" w:rsidR="008F5C6B" w:rsidRPr="004E0552" w:rsidRDefault="008F5C6B">
      <w:pPr>
        <w:pStyle w:val="FootnoteText"/>
        <w:rPr>
          <w:lang w:val="en-US"/>
        </w:rPr>
      </w:pPr>
      <w:r>
        <w:rPr>
          <w:rStyle w:val="FootnoteReference"/>
        </w:rPr>
        <w:footnoteRef/>
      </w:r>
      <w:r>
        <w:tab/>
      </w:r>
      <w:r w:rsidR="00C25A8F">
        <w:t>I</w:t>
      </w:r>
      <w:r w:rsidR="00C25A8F" w:rsidRPr="004E0552">
        <w:t>ncluding rules and principles on impartiality, recusal, personal relationships and contact with the legal profession, which applied to all judges before the separation of the administrative jurisdiction.</w:t>
      </w:r>
      <w:r w:rsidR="00C25A8F">
        <w:t xml:space="preserve"> Cypriot </w:t>
      </w:r>
      <w:r w:rsidR="000F235C">
        <w:t>Government (2026c).</w:t>
      </w:r>
    </w:p>
  </w:footnote>
  <w:footnote w:id="17">
    <w:p w14:paraId="1A9FD4AE" w14:textId="77777777" w:rsidR="0040534C" w:rsidRPr="00396960" w:rsidRDefault="0040534C" w:rsidP="00FE3FE5">
      <w:pPr>
        <w:pStyle w:val="FootnoteText"/>
      </w:pPr>
      <w:r w:rsidRPr="00396960">
        <w:rPr>
          <w:rStyle w:val="FootnoteReference"/>
        </w:rPr>
        <w:footnoteRef/>
      </w:r>
      <w:r w:rsidRPr="00396960">
        <w:t xml:space="preserve"> </w:t>
      </w:r>
      <w:r w:rsidRPr="00396960">
        <w:tab/>
      </w:r>
      <w:r>
        <w:t>Supreme Constitutional Court (</w:t>
      </w:r>
      <w:r w:rsidRPr="00396960">
        <w:t>2025</w:t>
      </w:r>
      <w:r>
        <w:t>b)</w:t>
      </w:r>
      <w:r w:rsidRPr="00396960">
        <w:t xml:space="preserve">. Judicial Service (2026), written input, p. 4. </w:t>
      </w:r>
    </w:p>
  </w:footnote>
  <w:footnote w:id="18">
    <w:p w14:paraId="00AEE7D7" w14:textId="77777777" w:rsidR="0040534C" w:rsidRPr="00396960" w:rsidRDefault="0040534C" w:rsidP="00FE3FE5">
      <w:pPr>
        <w:pStyle w:val="FootnoteText"/>
      </w:pPr>
      <w:r w:rsidRPr="00396960">
        <w:rPr>
          <w:rStyle w:val="FootnoteReference"/>
        </w:rPr>
        <w:footnoteRef/>
      </w:r>
      <w:r w:rsidRPr="00396960">
        <w:t xml:space="preserve"> </w:t>
      </w:r>
      <w:r w:rsidRPr="00396960">
        <w:tab/>
        <w:t>Judicial Service (2026), written input, p. 6.</w:t>
      </w:r>
    </w:p>
  </w:footnote>
  <w:footnote w:id="19">
    <w:p w14:paraId="5100C14D" w14:textId="32993366" w:rsidR="0040534C" w:rsidRPr="00B4477E" w:rsidRDefault="0040534C" w:rsidP="00FE3FE5">
      <w:pPr>
        <w:pStyle w:val="FootnoteText"/>
      </w:pPr>
      <w:r>
        <w:rPr>
          <w:rStyle w:val="FootnoteReference"/>
        </w:rPr>
        <w:footnoteRef/>
      </w:r>
      <w:r>
        <w:t xml:space="preserve"> </w:t>
      </w:r>
      <w:r>
        <w:tab/>
      </w:r>
      <w:r w:rsidRPr="00C7028B">
        <w:t>According to European standards, where recruitment of judges is made for a probationary period, the decision on whether to confirm or renew such an appointment should be based on objective criteria pre-established by law or by the competent authorities</w:t>
      </w:r>
      <w:r>
        <w:t xml:space="preserve">. </w:t>
      </w:r>
      <w:r w:rsidRPr="008A7E42">
        <w:rPr>
          <w:lang w:val="en-IE"/>
        </w:rPr>
        <w:t>Council of Europe</w:t>
      </w:r>
      <w:r>
        <w:rPr>
          <w:lang w:val="en-IE"/>
        </w:rPr>
        <w:t xml:space="preserve">: </w:t>
      </w:r>
      <w:r w:rsidRPr="008A7E42">
        <w:rPr>
          <w:lang w:val="en-IE"/>
        </w:rPr>
        <w:t xml:space="preserve">Committee of Ministers </w:t>
      </w:r>
      <w:r>
        <w:t>(</w:t>
      </w:r>
      <w:r w:rsidRPr="00396960">
        <w:t xml:space="preserve">2010), paras 44-51; Also, refusal to confirm the judge in office should be made according to objective criteria and with </w:t>
      </w:r>
      <w:r w:rsidRPr="00F15FC3">
        <w:t>the same procedural safeguards as apply where a judge is to be removed from office, Venice Commission (2007). Figure 55, 2026</w:t>
      </w:r>
      <w:r w:rsidRPr="00396960">
        <w:t xml:space="preserve"> EU Justice Scoreboard</w:t>
      </w:r>
      <w:r w:rsidR="008252F8">
        <w:t>.</w:t>
      </w:r>
    </w:p>
  </w:footnote>
  <w:footnote w:id="20">
    <w:p w14:paraId="25048888" w14:textId="06A42E07" w:rsidR="0040534C" w:rsidRPr="00396960" w:rsidRDefault="0040534C" w:rsidP="00FE3FE5">
      <w:pPr>
        <w:pStyle w:val="FootnoteText"/>
      </w:pPr>
      <w:r w:rsidRPr="00396960">
        <w:rPr>
          <w:rStyle w:val="FootnoteReference"/>
        </w:rPr>
        <w:footnoteRef/>
      </w:r>
      <w:r w:rsidRPr="00396960">
        <w:t xml:space="preserve"> </w:t>
      </w:r>
      <w:r w:rsidRPr="00396960">
        <w:tab/>
      </w:r>
      <w:r>
        <w:t>According to Decision 2/2025 of the Supreme Constitutional Council, t</w:t>
      </w:r>
      <w:r w:rsidRPr="00902606">
        <w:t xml:space="preserve">he absence of an explicit legal </w:t>
      </w:r>
      <w:r>
        <w:t>provision</w:t>
      </w:r>
      <w:r w:rsidRPr="00902606">
        <w:t xml:space="preserve"> does not </w:t>
      </w:r>
      <w:r w:rsidRPr="00DC0EA9">
        <w:t xml:space="preserve">render probationary judicial appointments unconstitutional, because they are grounded in a </w:t>
      </w:r>
      <w:r w:rsidRPr="0051143B">
        <w:t>consistent practice that has been followed over time and accepted by the relevant institutions</w:t>
      </w:r>
      <w:r w:rsidRPr="00902606">
        <w:t>.</w:t>
      </w:r>
      <w:r w:rsidR="002657C7" w:rsidRPr="002657C7">
        <w:rPr>
          <w:lang w:eastAsia="fr-FR"/>
        </w:rPr>
        <w:t xml:space="preserve"> </w:t>
      </w:r>
      <w:r w:rsidR="002657C7" w:rsidRPr="00396960">
        <w:rPr>
          <w:lang w:eastAsia="fr-FR"/>
        </w:rPr>
        <w:t>The three minority judges</w:t>
      </w:r>
      <w:r w:rsidR="002657C7">
        <w:rPr>
          <w:lang w:eastAsia="fr-FR"/>
        </w:rPr>
        <w:t xml:space="preserve">, including the President of the Court, </w:t>
      </w:r>
      <w:r w:rsidR="002657C7" w:rsidRPr="00396960">
        <w:rPr>
          <w:lang w:eastAsia="fr-FR"/>
        </w:rPr>
        <w:t>raised concerns as to the lack of explicit legislative or regulatory basis in Cypriot law</w:t>
      </w:r>
      <w:r w:rsidR="002657C7">
        <w:rPr>
          <w:lang w:eastAsia="fr-FR"/>
        </w:rPr>
        <w:t>.</w:t>
      </w:r>
      <w:r w:rsidR="002657C7" w:rsidRPr="002657C7">
        <w:t xml:space="preserve"> </w:t>
      </w:r>
      <w:r w:rsidR="002657C7" w:rsidRPr="00396960">
        <w:t xml:space="preserve">The minority’s view was that the issue met the criteria for a preliminary reference to the Court of Justice. However, the majority considered </w:t>
      </w:r>
      <w:r w:rsidR="002657C7">
        <w:t xml:space="preserve">it </w:t>
      </w:r>
      <w:r w:rsidR="002657C7" w:rsidRPr="00396960">
        <w:t>unnecessary to make a reference.</w:t>
      </w:r>
    </w:p>
  </w:footnote>
  <w:footnote w:id="21">
    <w:p w14:paraId="3C49DE80" w14:textId="6AFC9D4E" w:rsidR="006F2E12" w:rsidRPr="00455A0C" w:rsidRDefault="006F2E12">
      <w:pPr>
        <w:pStyle w:val="FootnoteText"/>
        <w:rPr>
          <w:lang w:val="en-IE"/>
        </w:rPr>
      </w:pPr>
      <w:r>
        <w:rPr>
          <w:rStyle w:val="FootnoteReference"/>
        </w:rPr>
        <w:footnoteRef/>
      </w:r>
      <w:r w:rsidR="00F11B26">
        <w:tab/>
      </w:r>
      <w:r w:rsidR="00F11B26" w:rsidRPr="00455A0C">
        <w:t>The phased implementation of the upgrade began in September 2025 and covers all court jurisdictions, including the Supreme Court and the Supreme Constitutional Court.</w:t>
      </w:r>
      <w:r w:rsidR="00455A0C" w:rsidRPr="00455A0C">
        <w:t xml:space="preserve"> Cyprus Government (2026c).</w:t>
      </w:r>
      <w:r w:rsidRPr="00455A0C">
        <w:tab/>
      </w:r>
    </w:p>
  </w:footnote>
  <w:footnote w:id="22">
    <w:p w14:paraId="44B3A723" w14:textId="77777777" w:rsidR="0040534C" w:rsidRPr="00396960" w:rsidRDefault="0040534C" w:rsidP="00FE3FE5">
      <w:pPr>
        <w:pStyle w:val="FootnoteText"/>
      </w:pPr>
      <w:r w:rsidRPr="00396960">
        <w:rPr>
          <w:rStyle w:val="FootnoteReference"/>
        </w:rPr>
        <w:footnoteRef/>
      </w:r>
      <w:r w:rsidRPr="00396960">
        <w:t xml:space="preserve"> </w:t>
      </w:r>
      <w:r w:rsidRPr="00396960">
        <w:tab/>
      </w:r>
      <w:r w:rsidRPr="00396960">
        <w:rPr>
          <w:bCs/>
          <w:lang w:eastAsia="fr-FR"/>
        </w:rPr>
        <w:t xml:space="preserve">Country visit Cyprus, CBA and Judicial Service. </w:t>
      </w:r>
      <w:r w:rsidRPr="00CB7478">
        <w:rPr>
          <w:lang w:eastAsia="fr-FR"/>
        </w:rPr>
        <w:t xml:space="preserve">European Semester 2026, Cyprus, </w:t>
      </w:r>
      <w:r w:rsidRPr="00CB7478">
        <w:rPr>
          <w:bCs/>
          <w:lang w:eastAsia="fr-FR"/>
        </w:rPr>
        <w:t>p</w:t>
      </w:r>
      <w:r>
        <w:rPr>
          <w:bCs/>
          <w:lang w:eastAsia="fr-FR"/>
        </w:rPr>
        <w:t>p</w:t>
      </w:r>
      <w:r w:rsidRPr="00CB7478">
        <w:rPr>
          <w:bCs/>
          <w:lang w:eastAsia="fr-FR"/>
        </w:rPr>
        <w:t>. 11</w:t>
      </w:r>
      <w:r>
        <w:rPr>
          <w:bCs/>
          <w:lang w:eastAsia="fr-FR"/>
        </w:rPr>
        <w:t xml:space="preserve"> and 64</w:t>
      </w:r>
      <w:r w:rsidRPr="00CB7478">
        <w:rPr>
          <w:bCs/>
          <w:lang w:eastAsia="fr-FR"/>
        </w:rPr>
        <w:t>.</w:t>
      </w:r>
      <w:r>
        <w:rPr>
          <w:bCs/>
          <w:lang w:eastAsia="fr-FR"/>
        </w:rPr>
        <w:t xml:space="preserve"> </w:t>
      </w:r>
    </w:p>
  </w:footnote>
  <w:footnote w:id="23">
    <w:p w14:paraId="06483D72" w14:textId="7C5BB0A8" w:rsidR="00115DBE" w:rsidRPr="00FE68B2" w:rsidRDefault="00115DBE">
      <w:pPr>
        <w:pStyle w:val="FootnoteText"/>
        <w:rPr>
          <w:lang w:val="en-IE"/>
        </w:rPr>
      </w:pPr>
      <w:r>
        <w:rPr>
          <w:rStyle w:val="FootnoteReference"/>
        </w:rPr>
        <w:footnoteRef/>
      </w:r>
      <w:r>
        <w:tab/>
      </w:r>
      <w:r w:rsidR="00367BD0">
        <w:t xml:space="preserve">In December 2025, </w:t>
      </w:r>
      <w:r w:rsidR="009F14C0" w:rsidRPr="009F14C0">
        <w:rPr>
          <w:lang w:val="en-US"/>
        </w:rPr>
        <w:t>an AI-based Digital Assistant was introduced on the websites of the Supreme Court, the Supreme Constitutional Court and the government portal</w:t>
      </w:r>
      <w:r w:rsidR="00946DDF">
        <w:rPr>
          <w:lang w:val="en-US"/>
        </w:rPr>
        <w:t xml:space="preserve">, </w:t>
      </w:r>
      <w:r w:rsidR="009F14C0" w:rsidRPr="009F14C0">
        <w:rPr>
          <w:lang w:val="en-US"/>
        </w:rPr>
        <w:t>provid</w:t>
      </w:r>
      <w:r w:rsidR="00946DDF">
        <w:rPr>
          <w:lang w:val="en-US"/>
        </w:rPr>
        <w:t>ing</w:t>
      </w:r>
      <w:r w:rsidR="009F14C0" w:rsidRPr="009F14C0">
        <w:rPr>
          <w:lang w:val="en-US"/>
        </w:rPr>
        <w:t xml:space="preserve"> information</w:t>
      </w:r>
      <w:r w:rsidR="00A60043">
        <w:rPr>
          <w:lang w:val="en-US"/>
        </w:rPr>
        <w:t xml:space="preserve"> on public services and processes</w:t>
      </w:r>
      <w:r w:rsidR="009F14C0" w:rsidRPr="009F14C0">
        <w:rPr>
          <w:lang w:val="en-US"/>
        </w:rPr>
        <w:t>.</w:t>
      </w:r>
      <w:r w:rsidR="00B34728">
        <w:rPr>
          <w:lang w:val="en-US"/>
        </w:rPr>
        <w:t xml:space="preserve"> Judicial Service (2026), written input, p</w:t>
      </w:r>
      <w:r w:rsidR="00FE68B2">
        <w:rPr>
          <w:lang w:val="en-US"/>
        </w:rPr>
        <w:t>. 8; Cypriot Government (2026c).</w:t>
      </w:r>
      <w:r w:rsidR="009F14C0" w:rsidRPr="009F14C0">
        <w:rPr>
          <w:lang w:val="en-US"/>
        </w:rPr>
        <w:t xml:space="preserve"> </w:t>
      </w:r>
      <w:r w:rsidR="00F90801">
        <w:t xml:space="preserve"> </w:t>
      </w:r>
      <w:r>
        <w:tab/>
      </w:r>
    </w:p>
  </w:footnote>
  <w:footnote w:id="24">
    <w:p w14:paraId="3B1FCDD2"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Figures </w:t>
      </w:r>
      <w:r w:rsidRPr="00027E69">
        <w:t>40</w:t>
      </w:r>
      <w:r>
        <w:t>-</w:t>
      </w:r>
      <w:r w:rsidRPr="00027E69">
        <w:t>47</w:t>
      </w:r>
      <w:r>
        <w:t>,</w:t>
      </w:r>
      <w:r w:rsidRPr="00396960">
        <w:t xml:space="preserve"> 2026 EU Justice Scoreboard.</w:t>
      </w:r>
    </w:p>
  </w:footnote>
  <w:footnote w:id="25">
    <w:p w14:paraId="4E27BE8A"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These </w:t>
      </w:r>
      <w:r w:rsidRPr="00396960">
        <w:rPr>
          <w:lang w:eastAsia="fr-FR"/>
        </w:rPr>
        <w:t xml:space="preserve">include the </w:t>
      </w:r>
      <w:r w:rsidRPr="00396960">
        <w:t>introduction of digital audio recording in court proceedings to replace stenography and the e-justice case management system. 2025 Rule of Law Report, Cyprus, p</w:t>
      </w:r>
      <w:r>
        <w:t>.</w:t>
      </w:r>
      <w:r w:rsidRPr="00396960">
        <w:t xml:space="preserve"> 6.  </w:t>
      </w:r>
    </w:p>
  </w:footnote>
  <w:footnote w:id="26">
    <w:p w14:paraId="65C59863" w14:textId="4F245078" w:rsidR="0040534C" w:rsidRPr="00396960" w:rsidRDefault="0040534C" w:rsidP="00FE3FE5">
      <w:pPr>
        <w:pStyle w:val="FootnoteText"/>
      </w:pPr>
      <w:r w:rsidRPr="00396960">
        <w:rPr>
          <w:rStyle w:val="FootnoteReference"/>
        </w:rPr>
        <w:footnoteRef/>
      </w:r>
      <w:r w:rsidRPr="00396960">
        <w:t xml:space="preserve"> </w:t>
      </w:r>
      <w:r w:rsidRPr="00396960">
        <w:tab/>
        <w:t>Oxygen</w:t>
      </w:r>
      <w:r>
        <w:t xml:space="preserve"> (2026), input,</w:t>
      </w:r>
      <w:r w:rsidRPr="00396960">
        <w:t xml:space="preserve"> p.</w:t>
      </w:r>
      <w:r>
        <w:t xml:space="preserve"> </w:t>
      </w:r>
      <w:r w:rsidRPr="00396960">
        <w:t>9</w:t>
      </w:r>
      <w:r w:rsidR="000E028B">
        <w:t>.</w:t>
      </w:r>
    </w:p>
  </w:footnote>
  <w:footnote w:id="27">
    <w:p w14:paraId="6873E927" w14:textId="6F63ED75" w:rsidR="0040534C" w:rsidRPr="00396960" w:rsidRDefault="0040534C" w:rsidP="00FE3FE5">
      <w:pPr>
        <w:pStyle w:val="FootnoteText"/>
      </w:pPr>
      <w:r w:rsidRPr="00396960">
        <w:rPr>
          <w:rStyle w:val="FootnoteReference"/>
        </w:rPr>
        <w:footnoteRef/>
      </w:r>
      <w:r w:rsidRPr="00396960">
        <w:t xml:space="preserve"> </w:t>
      </w:r>
      <w:r w:rsidRPr="00396960">
        <w:tab/>
        <w:t>Cypriot Government (2026</w:t>
      </w:r>
      <w:r w:rsidR="005E1539">
        <w:t xml:space="preserve"> and 2026c</w:t>
      </w:r>
      <w:r w:rsidRPr="00396960">
        <w:t>),</w:t>
      </w:r>
      <w:r>
        <w:t xml:space="preserve"> written</w:t>
      </w:r>
      <w:r w:rsidRPr="00396960">
        <w:t xml:space="preserve"> input, p. 15.</w:t>
      </w:r>
    </w:p>
  </w:footnote>
  <w:footnote w:id="28">
    <w:p w14:paraId="41C4592E" w14:textId="77777777" w:rsidR="0040534C" w:rsidRPr="00027E69" w:rsidRDefault="0040534C" w:rsidP="00FE3FE5">
      <w:pPr>
        <w:pStyle w:val="FootnoteText"/>
      </w:pPr>
      <w:r w:rsidRPr="00396960">
        <w:rPr>
          <w:rStyle w:val="FootnoteReference"/>
        </w:rPr>
        <w:footnoteRef/>
      </w:r>
      <w:r w:rsidRPr="00396960">
        <w:t xml:space="preserve"> </w:t>
      </w:r>
      <w:r w:rsidRPr="00396960">
        <w:tab/>
      </w:r>
      <w:r w:rsidRPr="00027E69">
        <w:t>2025 Rule of Law Report, Cyprus, p. 5.</w:t>
      </w:r>
    </w:p>
  </w:footnote>
  <w:footnote w:id="29">
    <w:p w14:paraId="249E15A6" w14:textId="77777777" w:rsidR="0040534C" w:rsidRPr="00027E69" w:rsidRDefault="0040534C" w:rsidP="00FE3FE5">
      <w:pPr>
        <w:pStyle w:val="FootnoteText"/>
      </w:pPr>
      <w:r w:rsidRPr="00027E69">
        <w:rPr>
          <w:rStyle w:val="FootnoteReference"/>
        </w:rPr>
        <w:footnoteRef/>
      </w:r>
      <w:r w:rsidRPr="00027E69">
        <w:t xml:space="preserve"> </w:t>
      </w:r>
      <w:r w:rsidRPr="00027E69">
        <w:tab/>
        <w:t xml:space="preserve">Country visit Cyprus, CBA, Business associations and Ministry of Justice and Public Order. </w:t>
      </w:r>
    </w:p>
  </w:footnote>
  <w:footnote w:id="30">
    <w:p w14:paraId="5FB15646" w14:textId="765B2101" w:rsidR="0040534C" w:rsidRPr="00027E69" w:rsidRDefault="0040534C" w:rsidP="00FE3FE5">
      <w:pPr>
        <w:pStyle w:val="FootnoteText"/>
      </w:pPr>
      <w:r w:rsidRPr="00027E69">
        <w:rPr>
          <w:rStyle w:val="FootnoteReference"/>
        </w:rPr>
        <w:footnoteRef/>
      </w:r>
      <w:r w:rsidRPr="00027E69">
        <w:t xml:space="preserve"> </w:t>
      </w:r>
      <w:r w:rsidRPr="00027E69">
        <w:tab/>
        <w:t xml:space="preserve">2025 Rule of Law Report, Cyprus, p. 6. For 15 vacancies for first instance judges, only </w:t>
      </w:r>
      <w:r w:rsidR="00B06960">
        <w:t>four</w:t>
      </w:r>
      <w:r w:rsidR="00B06960" w:rsidRPr="00027E69">
        <w:t xml:space="preserve"> </w:t>
      </w:r>
      <w:r w:rsidRPr="00027E69">
        <w:t>were recruited. For the Admiralty Court, two judges were needed but only one suitable candidate was identified, thus the position had to be advertised again</w:t>
      </w:r>
      <w:r w:rsidR="003F6DB5">
        <w:t xml:space="preserve"> and </w:t>
      </w:r>
      <w:r w:rsidR="00A37F65">
        <w:t>a new</w:t>
      </w:r>
      <w:r w:rsidR="003F6DB5">
        <w:t xml:space="preserve"> selection procedure was launched</w:t>
      </w:r>
      <w:r w:rsidRPr="00027E69">
        <w:t xml:space="preserve">. Country visit, Cyprus, Supreme Constitutional and Supreme Courts. </w:t>
      </w:r>
    </w:p>
  </w:footnote>
  <w:footnote w:id="31">
    <w:p w14:paraId="31479485" w14:textId="77777777" w:rsidR="0040534C" w:rsidRPr="00027E69" w:rsidRDefault="0040534C" w:rsidP="00FE3FE5">
      <w:pPr>
        <w:pStyle w:val="FootnoteText"/>
        <w:rPr>
          <w:lang w:val="en-IE"/>
        </w:rPr>
      </w:pPr>
      <w:r w:rsidRPr="00027E69">
        <w:rPr>
          <w:rStyle w:val="FootnoteReference"/>
        </w:rPr>
        <w:footnoteRef/>
      </w:r>
      <w:r w:rsidRPr="00027E69">
        <w:t xml:space="preserve"> </w:t>
      </w:r>
      <w:r w:rsidRPr="00027E69">
        <w:rPr>
          <w:lang w:val="en-IE"/>
        </w:rPr>
        <w:tab/>
        <w:t>EAJ (2026), written input, p. 24.</w:t>
      </w:r>
    </w:p>
  </w:footnote>
  <w:footnote w:id="32">
    <w:p w14:paraId="22198B09" w14:textId="18A6F651" w:rsidR="0040534C" w:rsidRPr="00027E69" w:rsidRDefault="0040534C" w:rsidP="00FE3FE5">
      <w:pPr>
        <w:pStyle w:val="FootnoteText"/>
      </w:pPr>
      <w:r w:rsidRPr="00027E69">
        <w:rPr>
          <w:rStyle w:val="FootnoteReference"/>
        </w:rPr>
        <w:footnoteRef/>
      </w:r>
      <w:r w:rsidRPr="00027E69">
        <w:t xml:space="preserve"> </w:t>
      </w:r>
      <w:r w:rsidRPr="00027E69">
        <w:tab/>
        <w:t>Cypriot Government (2026), annex, p. 8</w:t>
      </w:r>
      <w:r w:rsidR="00CC1FAD">
        <w:t xml:space="preserve"> and (2026c)</w:t>
      </w:r>
      <w:r w:rsidRPr="00027E69">
        <w:t xml:space="preserve">. The </w:t>
      </w:r>
      <w:r w:rsidR="00AC4F0F">
        <w:t>Law Office has been</w:t>
      </w:r>
      <w:r w:rsidRPr="00027E69">
        <w:t xml:space="preserve"> allocat</w:t>
      </w:r>
      <w:r w:rsidR="00AC4F0F">
        <w:t>ed</w:t>
      </w:r>
      <w:r w:rsidRPr="00027E69">
        <w:t xml:space="preserve"> 3</w:t>
      </w:r>
      <w:r w:rsidR="00047278">
        <w:t>3</w:t>
      </w:r>
      <w:r w:rsidRPr="00027E69">
        <w:t xml:space="preserve"> additional legal </w:t>
      </w:r>
      <w:r w:rsidR="00047278">
        <w:t>posts</w:t>
      </w:r>
      <w:r w:rsidR="00047278" w:rsidRPr="00027E69">
        <w:t xml:space="preserve"> </w:t>
      </w:r>
      <w:r w:rsidRPr="00027E69">
        <w:t xml:space="preserve">and 30 </w:t>
      </w:r>
      <w:r w:rsidR="0090557D">
        <w:t>posts for</w:t>
      </w:r>
      <w:r w:rsidR="00822382">
        <w:t xml:space="preserve"> </w:t>
      </w:r>
      <w:r w:rsidR="0090557D">
        <w:t>legal secretaries</w:t>
      </w:r>
      <w:r w:rsidRPr="00027E69">
        <w:t xml:space="preserve">. </w:t>
      </w:r>
    </w:p>
  </w:footnote>
  <w:footnote w:id="33">
    <w:p w14:paraId="48F78E25" w14:textId="77777777" w:rsidR="0040534C" w:rsidRPr="00027E69" w:rsidRDefault="0040534C" w:rsidP="00FE3FE5">
      <w:pPr>
        <w:pStyle w:val="FootnoteText"/>
      </w:pPr>
      <w:r w:rsidRPr="00027E69">
        <w:rPr>
          <w:rStyle w:val="FootnoteReference"/>
        </w:rPr>
        <w:footnoteRef/>
      </w:r>
      <w:r w:rsidRPr="00027E69">
        <w:t xml:space="preserve"> </w:t>
      </w:r>
      <w:r w:rsidRPr="00027E69">
        <w:tab/>
        <w:t>This mainly concerns the first instance courts in Nicosia, the Court of Appeal and the Court of International Protection, Country visit, Supreme Constitutional and Supreme Courts, Association of judges and CBA. See also, 2023 and 2025 Rule of Law Reports, Cyprus, pp. 8-9 and 6 respectively.</w:t>
      </w:r>
    </w:p>
  </w:footnote>
  <w:footnote w:id="34">
    <w:p w14:paraId="5C14EBEB" w14:textId="77777777" w:rsidR="0040534C" w:rsidRPr="00027E69" w:rsidRDefault="0040534C" w:rsidP="00FE3FE5">
      <w:pPr>
        <w:pStyle w:val="FootnoteText"/>
      </w:pPr>
      <w:r w:rsidRPr="00027E69">
        <w:rPr>
          <w:rStyle w:val="FootnoteReference"/>
        </w:rPr>
        <w:footnoteRef/>
      </w:r>
      <w:r w:rsidRPr="00027E69">
        <w:t xml:space="preserve"> </w:t>
      </w:r>
      <w:r w:rsidRPr="00027E69">
        <w:tab/>
        <w:t>Figures 5, 6, 7, 8, 10 and 11, 2026 EU Justice Scoreboard.</w:t>
      </w:r>
    </w:p>
  </w:footnote>
  <w:footnote w:id="35">
    <w:p w14:paraId="29AB8557" w14:textId="77777777" w:rsidR="0040534C" w:rsidRPr="00027E69" w:rsidRDefault="0040534C" w:rsidP="00FE3FE5">
      <w:pPr>
        <w:pStyle w:val="FootnoteText"/>
      </w:pPr>
      <w:r w:rsidRPr="00027E69">
        <w:rPr>
          <w:rStyle w:val="FootnoteReference"/>
        </w:rPr>
        <w:footnoteRef/>
      </w:r>
      <w:r w:rsidRPr="00027E69">
        <w:t xml:space="preserve"> </w:t>
      </w:r>
      <w:r w:rsidRPr="00027E69">
        <w:tab/>
        <w:t>EAJ (2026), written input, p. 38.</w:t>
      </w:r>
    </w:p>
  </w:footnote>
  <w:footnote w:id="36">
    <w:p w14:paraId="342734D2" w14:textId="67391892" w:rsidR="0040534C" w:rsidRPr="00396960" w:rsidRDefault="0040534C" w:rsidP="00FE3FE5">
      <w:pPr>
        <w:pStyle w:val="FootnoteText"/>
      </w:pPr>
      <w:r w:rsidRPr="00027E69">
        <w:rPr>
          <w:rStyle w:val="FootnoteReference"/>
        </w:rPr>
        <w:footnoteRef/>
      </w:r>
      <w:r w:rsidR="001365CB">
        <w:tab/>
      </w:r>
      <w:r w:rsidRPr="00027E69">
        <w:t>Country visit Cyprus, Supreme Constitutional Court, Supreme Court, Association of judges.</w:t>
      </w:r>
    </w:p>
  </w:footnote>
  <w:footnote w:id="37">
    <w:p w14:paraId="5F222A70"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Country visit Cyprus, Supreme Constitutional Court, Supreme Court, Association of judges, CBA. </w:t>
      </w:r>
    </w:p>
  </w:footnote>
  <w:footnote w:id="38">
    <w:p w14:paraId="3CC2F5D6" w14:textId="5E5D6746" w:rsidR="0040534C" w:rsidRPr="00396960" w:rsidRDefault="0040534C" w:rsidP="00FE3FE5">
      <w:pPr>
        <w:pStyle w:val="FootnoteText"/>
      </w:pPr>
      <w:r w:rsidRPr="00396960">
        <w:rPr>
          <w:rStyle w:val="FootnoteReference"/>
        </w:rPr>
        <w:footnoteRef/>
      </w:r>
      <w:r w:rsidRPr="00396960">
        <w:t xml:space="preserve"> </w:t>
      </w:r>
      <w:r w:rsidRPr="00396960">
        <w:tab/>
      </w:r>
      <w:r w:rsidR="00DA028B">
        <w:t>F</w:t>
      </w:r>
      <w:r w:rsidR="00DA028B" w:rsidRPr="00DA028B">
        <w:t xml:space="preserve">inal judgments in administrative cases </w:t>
      </w:r>
      <w:r w:rsidR="00DA028B">
        <w:t xml:space="preserve">are </w:t>
      </w:r>
      <w:r w:rsidR="00DA028B" w:rsidRPr="00DA028B">
        <w:t>to be delivered within six months and interim decisions within two months, subject to reasoned extensions and monitoring</w:t>
      </w:r>
      <w:r w:rsidR="00685E12">
        <w:t xml:space="preserve">. </w:t>
      </w:r>
      <w:r>
        <w:t>Supreme Constitutional Court (2025c)</w:t>
      </w:r>
      <w:r w:rsidRPr="00396960">
        <w:t>. Judicial Service (2026), written input, p. 8.</w:t>
      </w:r>
    </w:p>
  </w:footnote>
  <w:footnote w:id="39">
    <w:p w14:paraId="1E5DE2D8" w14:textId="77777777" w:rsidR="0040534C" w:rsidRPr="00396960" w:rsidRDefault="0040534C" w:rsidP="00FE3FE5">
      <w:pPr>
        <w:pStyle w:val="FootnoteText"/>
      </w:pPr>
      <w:r w:rsidRPr="00396960">
        <w:rPr>
          <w:rStyle w:val="FootnoteReference"/>
        </w:rPr>
        <w:footnoteRef/>
      </w:r>
      <w:r w:rsidRPr="00396960">
        <w:t xml:space="preserve"> </w:t>
      </w:r>
      <w:r w:rsidRPr="00396960">
        <w:tab/>
        <w:t>2022, 2023 Rule of Law Reports, Cyprus, pp. 6-7 and 11 respectively.</w:t>
      </w:r>
    </w:p>
  </w:footnote>
  <w:footnote w:id="40">
    <w:p w14:paraId="12D4329E" w14:textId="77777777" w:rsidR="0040534C" w:rsidRPr="00396960" w:rsidRDefault="0040534C" w:rsidP="00FE3FE5">
      <w:pPr>
        <w:pStyle w:val="FootnoteText"/>
      </w:pPr>
      <w:r w:rsidRPr="00396960">
        <w:rPr>
          <w:rStyle w:val="FootnoteReference"/>
        </w:rPr>
        <w:footnoteRef/>
      </w:r>
      <w:r w:rsidRPr="00396960">
        <w:t xml:space="preserve"> </w:t>
      </w:r>
      <w:r w:rsidRPr="00396960">
        <w:tab/>
        <w:t>Country visit Cyprus, Association of judges</w:t>
      </w:r>
      <w:r>
        <w:t>; EAJ (2026), written input, p. 37</w:t>
      </w:r>
      <w:r w:rsidRPr="00396960">
        <w:t xml:space="preserve">. </w:t>
      </w:r>
    </w:p>
  </w:footnote>
  <w:footnote w:id="41">
    <w:p w14:paraId="71A68913" w14:textId="77777777" w:rsidR="0040534C" w:rsidRPr="00396960" w:rsidRDefault="0040534C" w:rsidP="00FE3FE5">
      <w:pPr>
        <w:pStyle w:val="FootnoteText"/>
      </w:pPr>
      <w:r w:rsidRPr="00396960">
        <w:rPr>
          <w:rStyle w:val="FootnoteReference"/>
        </w:rPr>
        <w:footnoteRef/>
      </w:r>
      <w:r w:rsidRPr="00396960">
        <w:t xml:space="preserve"> </w:t>
      </w:r>
      <w:r w:rsidRPr="00396960">
        <w:tab/>
        <w:t>Cypriot government (2026), written input, p. 14.</w:t>
      </w:r>
      <w:r>
        <w:t xml:space="preserve"> Parliament (2026), pp. 3-4.</w:t>
      </w:r>
    </w:p>
  </w:footnote>
  <w:footnote w:id="42">
    <w:p w14:paraId="1CE58827" w14:textId="0E38E0E2" w:rsidR="0040534C" w:rsidRPr="00396960" w:rsidRDefault="0040534C" w:rsidP="00FE3FE5">
      <w:pPr>
        <w:pStyle w:val="FootnoteText"/>
      </w:pPr>
      <w:r w:rsidRPr="00396960">
        <w:rPr>
          <w:rStyle w:val="FootnoteReference"/>
        </w:rPr>
        <w:footnoteRef/>
      </w:r>
      <w:r w:rsidRPr="00396960">
        <w:t xml:space="preserve"> </w:t>
      </w:r>
      <w:r w:rsidRPr="00396960">
        <w:tab/>
        <w:t>2023 Rule of Law Report, Cyprus, pp</w:t>
      </w:r>
      <w:r w:rsidR="00201DB3">
        <w:t>.</w:t>
      </w:r>
      <w:r w:rsidRPr="00396960">
        <w:t xml:space="preserve"> 11-12. </w:t>
      </w:r>
    </w:p>
  </w:footnote>
  <w:footnote w:id="43">
    <w:p w14:paraId="2CA50986" w14:textId="147090C7" w:rsidR="0040534C" w:rsidRPr="00396960" w:rsidRDefault="0040534C" w:rsidP="00FE3FE5">
      <w:pPr>
        <w:pStyle w:val="FootnoteText"/>
      </w:pPr>
      <w:r w:rsidRPr="00396960">
        <w:rPr>
          <w:rStyle w:val="FootnoteReference"/>
        </w:rPr>
        <w:footnoteRef/>
      </w:r>
      <w:r w:rsidRPr="00396960">
        <w:t xml:space="preserve"> </w:t>
      </w:r>
      <w:r w:rsidRPr="00396960">
        <w:tab/>
      </w:r>
      <w:r w:rsidR="004B7AA4">
        <w:t xml:space="preserve">A new </w:t>
      </w:r>
      <w:r w:rsidR="006F4F8C">
        <w:t>procedure for the</w:t>
      </w:r>
      <w:r w:rsidR="00DF5983">
        <w:t xml:space="preserve"> </w:t>
      </w:r>
      <w:r w:rsidR="00775008">
        <w:t>appointment</w:t>
      </w:r>
      <w:r w:rsidR="00DF5983">
        <w:t xml:space="preserve"> of </w:t>
      </w:r>
      <w:r w:rsidR="004A16A8">
        <w:t xml:space="preserve">the two </w:t>
      </w:r>
      <w:r w:rsidR="00DF5983">
        <w:t xml:space="preserve">Admiralty Court judges </w:t>
      </w:r>
      <w:r w:rsidR="00775008" w:rsidRPr="00775008">
        <w:t>is currently under way, after the previous procedure did not result in the appointment of any judges.</w:t>
      </w:r>
      <w:r w:rsidR="006F4F8C">
        <w:t xml:space="preserve"> </w:t>
      </w:r>
      <w:r w:rsidRPr="00396960">
        <w:t>Country visit</w:t>
      </w:r>
      <w:r>
        <w:t xml:space="preserve"> Cyprus</w:t>
      </w:r>
      <w:r w:rsidRPr="00396960">
        <w:t>, Supreme Court</w:t>
      </w:r>
      <w:r w:rsidR="004A16A8">
        <w:t xml:space="preserve">; </w:t>
      </w:r>
      <w:r w:rsidR="00C56ADB">
        <w:t>Cypriot Government (2026c)</w:t>
      </w:r>
      <w:r w:rsidRPr="00396960">
        <w:t xml:space="preserve">. </w:t>
      </w:r>
    </w:p>
  </w:footnote>
  <w:footnote w:id="44">
    <w:p w14:paraId="526B2CD9" w14:textId="77777777" w:rsidR="0040534C" w:rsidRPr="00497065" w:rsidRDefault="0040534C" w:rsidP="00FE3FE5">
      <w:pPr>
        <w:pStyle w:val="FootnoteText"/>
      </w:pPr>
      <w:r>
        <w:rPr>
          <w:rStyle w:val="FootnoteReference"/>
        </w:rPr>
        <w:footnoteRef/>
      </w:r>
      <w:r>
        <w:t xml:space="preserve"> </w:t>
      </w:r>
      <w:r>
        <w:tab/>
      </w:r>
      <w:r w:rsidRPr="00B77C75">
        <w:rPr>
          <w:lang w:eastAsia="fr-FR"/>
        </w:rPr>
        <w:t xml:space="preserve">European Semester 2026, Cyprus, </w:t>
      </w:r>
      <w:r w:rsidRPr="00B77C75">
        <w:rPr>
          <w:bCs/>
          <w:lang w:eastAsia="fr-FR"/>
        </w:rPr>
        <w:t>p</w:t>
      </w:r>
      <w:r>
        <w:rPr>
          <w:bCs/>
          <w:lang w:eastAsia="fr-FR"/>
        </w:rPr>
        <w:t>p</w:t>
      </w:r>
      <w:r w:rsidRPr="00B77C75">
        <w:rPr>
          <w:bCs/>
          <w:lang w:eastAsia="fr-FR"/>
        </w:rPr>
        <w:t>.</w:t>
      </w:r>
      <w:r w:rsidRPr="00CB545C">
        <w:rPr>
          <w:bCs/>
          <w:lang w:eastAsia="fr-FR"/>
        </w:rPr>
        <w:t xml:space="preserve"> 11</w:t>
      </w:r>
      <w:r>
        <w:rPr>
          <w:bCs/>
          <w:lang w:eastAsia="fr-FR"/>
        </w:rPr>
        <w:t xml:space="preserve"> and 64</w:t>
      </w:r>
      <w:r w:rsidRPr="00CB545C">
        <w:rPr>
          <w:bCs/>
          <w:lang w:eastAsia="fr-FR"/>
        </w:rPr>
        <w:t>.</w:t>
      </w:r>
    </w:p>
  </w:footnote>
  <w:footnote w:id="45">
    <w:p w14:paraId="74A4727F"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Country visit Cyprus, Business associations. </w:t>
      </w:r>
    </w:p>
  </w:footnote>
  <w:footnote w:id="46">
    <w:p w14:paraId="63C96107" w14:textId="3D6EDFCF" w:rsidR="0040534C" w:rsidRPr="00742F33" w:rsidRDefault="0040534C" w:rsidP="00FE3FE5">
      <w:pPr>
        <w:pStyle w:val="FootnoteText"/>
      </w:pPr>
      <w:r>
        <w:rPr>
          <w:rStyle w:val="FootnoteReference"/>
        </w:rPr>
        <w:footnoteRef/>
      </w:r>
      <w:r>
        <w:t xml:space="preserve"> </w:t>
      </w:r>
      <w:r w:rsidRPr="00396960">
        <w:tab/>
        <w:t xml:space="preserve">2025 Rule of Law Report, Cyprus, </w:t>
      </w:r>
      <w:r>
        <w:t xml:space="preserve">p. </w:t>
      </w:r>
      <w:r w:rsidRPr="00396960">
        <w:t>6.</w:t>
      </w:r>
    </w:p>
  </w:footnote>
  <w:footnote w:id="47">
    <w:p w14:paraId="3F9C4327" w14:textId="77777777" w:rsidR="0040534C" w:rsidRPr="00396960" w:rsidRDefault="0040534C" w:rsidP="00FE3FE5">
      <w:pPr>
        <w:pStyle w:val="FootnoteText"/>
      </w:pPr>
      <w:r w:rsidRPr="00396960">
        <w:rPr>
          <w:rStyle w:val="FootnoteReference"/>
        </w:rPr>
        <w:footnoteRef/>
      </w:r>
      <w:r w:rsidRPr="00396960">
        <w:t xml:space="preserve"> </w:t>
      </w:r>
      <w:r w:rsidRPr="00396960">
        <w:tab/>
        <w:t>Registrars would be fully exempted from administrative duties and instead specialise in case preparation, handling procedural matters like filing and scheduling to streamline case management.</w:t>
      </w:r>
    </w:p>
  </w:footnote>
  <w:footnote w:id="48">
    <w:p w14:paraId="68C90170" w14:textId="77777777" w:rsidR="0040534C" w:rsidRPr="00396960" w:rsidRDefault="0040534C" w:rsidP="00FE3FE5">
      <w:pPr>
        <w:pStyle w:val="FootnoteText"/>
      </w:pPr>
      <w:r w:rsidRPr="00396960">
        <w:rPr>
          <w:rStyle w:val="FootnoteReference"/>
        </w:rPr>
        <w:footnoteRef/>
      </w:r>
      <w:r w:rsidRPr="00396960">
        <w:t xml:space="preserve"> </w:t>
      </w:r>
      <w:r w:rsidRPr="00396960">
        <w:tab/>
        <w:t>Judicial Service (2026), written input, p. 6.</w:t>
      </w:r>
    </w:p>
  </w:footnote>
  <w:footnote w:id="49">
    <w:p w14:paraId="02491077" w14:textId="77777777" w:rsidR="0040534C" w:rsidRPr="00396960" w:rsidRDefault="0040534C" w:rsidP="00FE3FE5">
      <w:pPr>
        <w:pStyle w:val="FootnoteText"/>
      </w:pPr>
      <w:r w:rsidRPr="00396960">
        <w:rPr>
          <w:rStyle w:val="FootnoteReference"/>
        </w:rPr>
        <w:footnoteRef/>
      </w:r>
      <w:r w:rsidRPr="00396960">
        <w:t xml:space="preserve"> </w:t>
      </w:r>
      <w:r w:rsidRPr="00396960">
        <w:tab/>
        <w:t>Cypriot Government (2026), written input, p. 17. See also, 2025 Rule of Law Report, Cyprus, p. 7.</w:t>
      </w:r>
    </w:p>
  </w:footnote>
  <w:footnote w:id="50">
    <w:p w14:paraId="4809527D" w14:textId="77777777" w:rsidR="0040534C" w:rsidRPr="00CC781E" w:rsidRDefault="0040534C" w:rsidP="00FE3FE5">
      <w:pPr>
        <w:pStyle w:val="FootnoteText"/>
      </w:pPr>
      <w:r>
        <w:rPr>
          <w:rStyle w:val="FootnoteReference"/>
        </w:rPr>
        <w:footnoteRef/>
      </w:r>
      <w:r>
        <w:t xml:space="preserve"> </w:t>
      </w:r>
      <w:r>
        <w:tab/>
      </w:r>
      <w:r w:rsidRPr="00B77C75">
        <w:rPr>
          <w:lang w:eastAsia="fr-FR"/>
        </w:rPr>
        <w:t xml:space="preserve">European Semester 2026, Cyprus, </w:t>
      </w:r>
      <w:r w:rsidRPr="00B77C75">
        <w:rPr>
          <w:bCs/>
          <w:lang w:eastAsia="fr-FR"/>
        </w:rPr>
        <w:t>pp. 11</w:t>
      </w:r>
      <w:r>
        <w:rPr>
          <w:bCs/>
          <w:lang w:eastAsia="fr-FR"/>
        </w:rPr>
        <w:t xml:space="preserve"> and 64</w:t>
      </w:r>
      <w:r>
        <w:rPr>
          <w:lang w:eastAsia="fr-FR"/>
        </w:rPr>
        <w:t>.</w:t>
      </w:r>
    </w:p>
  </w:footnote>
  <w:footnote w:id="51">
    <w:p w14:paraId="28AE542A" w14:textId="77777777" w:rsidR="0040534C" w:rsidRPr="00396960" w:rsidRDefault="0040534C" w:rsidP="00FE3FE5">
      <w:pPr>
        <w:pStyle w:val="FootnoteText"/>
      </w:pPr>
      <w:r w:rsidRPr="00396960">
        <w:rPr>
          <w:rStyle w:val="FootnoteReference"/>
        </w:rPr>
        <w:footnoteRef/>
      </w:r>
      <w:r w:rsidRPr="00396960">
        <w:t xml:space="preserve"> </w:t>
      </w:r>
      <w:r w:rsidRPr="00396960">
        <w:tab/>
        <w:t>For lawyers, difficulties arise from a combination of legislative restrictions, including limited access to debtors’ bank accounts, constraints on the seizure of movable property, and complex</w:t>
      </w:r>
      <w:r>
        <w:t xml:space="preserve"> </w:t>
      </w:r>
      <w:r w:rsidRPr="00396960">
        <w:t>procedures for the sale of immovable property, CBA (2026), written input, p. 5. 2025 Rule of Law Report, Cyprus, p. 8.</w:t>
      </w:r>
    </w:p>
  </w:footnote>
  <w:footnote w:id="52">
    <w:p w14:paraId="42DF9611"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Cypriot Government (2026), written input, p. 25. Whereas the Constitution provides that the Administrative Court, the Court of Appeal and the Supreme Constitutional Court are empowered to impose sanctions on any person not complying with a judgment, this power remains unregulated in law. Figure </w:t>
      </w:r>
      <w:r w:rsidRPr="00A52700">
        <w:t>49</w:t>
      </w:r>
      <w:r w:rsidRPr="00396960">
        <w:t xml:space="preserve">, </w:t>
      </w:r>
      <w:r w:rsidRPr="00A52700">
        <w:t>2025</w:t>
      </w:r>
      <w:r w:rsidRPr="00396960">
        <w:t xml:space="preserve"> EU Justice Scoreboard. 2025 Rule of Law Reports, Cyprus, p. 8.</w:t>
      </w:r>
    </w:p>
  </w:footnote>
  <w:footnote w:id="53">
    <w:p w14:paraId="168CD69B"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ENCJ </w:t>
      </w:r>
      <w:r>
        <w:t>(</w:t>
      </w:r>
      <w:r w:rsidRPr="00396960">
        <w:t>2025</w:t>
      </w:r>
      <w:r>
        <w:t>),</w:t>
      </w:r>
      <w:r w:rsidRPr="00396960">
        <w:t xml:space="preserve"> Survey, Figure 7.</w:t>
      </w:r>
    </w:p>
  </w:footnote>
  <w:footnote w:id="54">
    <w:p w14:paraId="3411B646" w14:textId="77777777" w:rsidR="0040534C" w:rsidRPr="00396960" w:rsidRDefault="0040534C" w:rsidP="00FE3FE5">
      <w:pPr>
        <w:pStyle w:val="FootnoteText"/>
      </w:pPr>
      <w:r w:rsidRPr="00396960">
        <w:rPr>
          <w:rStyle w:val="FootnoteReference"/>
        </w:rPr>
        <w:footnoteRef/>
      </w:r>
      <w:r w:rsidRPr="00396960">
        <w:t xml:space="preserve"> </w:t>
      </w:r>
      <w:r w:rsidRPr="00396960">
        <w:tab/>
        <w:t>The level of perceived corruption is categorised as follows: low (above 79); relatively low (between 79-60), relatively high (between 59-50), high (below 50).</w:t>
      </w:r>
    </w:p>
  </w:footnote>
  <w:footnote w:id="55">
    <w:p w14:paraId="268A7D96" w14:textId="77777777" w:rsidR="0040534C" w:rsidRPr="00396960" w:rsidRDefault="0040534C" w:rsidP="00FE3FE5">
      <w:pPr>
        <w:pStyle w:val="FootnoteText"/>
      </w:pPr>
      <w:r w:rsidRPr="00396960">
        <w:rPr>
          <w:rStyle w:val="FootnoteReference"/>
        </w:rPr>
        <w:footnoteRef/>
      </w:r>
      <w:r w:rsidRPr="00396960">
        <w:t xml:space="preserve"> </w:t>
      </w:r>
      <w:r w:rsidRPr="00396960">
        <w:tab/>
        <w:t>In 202</w:t>
      </w:r>
      <w:r>
        <w:t>1</w:t>
      </w:r>
      <w:r w:rsidRPr="00396960">
        <w:t xml:space="preserve"> the score was </w:t>
      </w:r>
      <w:r>
        <w:t>53</w:t>
      </w:r>
      <w:r w:rsidRPr="00396960">
        <w:t>, while in 202</w:t>
      </w:r>
      <w:r>
        <w:t>5</w:t>
      </w:r>
      <w:r w:rsidRPr="00396960">
        <w:t xml:space="preserve">, the score is </w:t>
      </w:r>
      <w:r>
        <w:t>55</w:t>
      </w:r>
      <w:r w:rsidRPr="00396960">
        <w:t>. The score significantly increases/decreases when it changes more than five points; improves/deteriorates (changes between 4-5 points); is relatively stable (changes from 1-3 points) in the last five years.</w:t>
      </w:r>
    </w:p>
  </w:footnote>
  <w:footnote w:id="56">
    <w:p w14:paraId="2A00BB62"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Data from Special Eurobarometer </w:t>
      </w:r>
      <w:r w:rsidRPr="00506810">
        <w:t>573 (2026) and Flash Eurobarometer 582 (2026</w:t>
      </w:r>
      <w:r>
        <w:t>).</w:t>
      </w:r>
    </w:p>
  </w:footnote>
  <w:footnote w:id="57">
    <w:p w14:paraId="79217AE9" w14:textId="77777777" w:rsidR="0040534C" w:rsidRPr="00396960" w:rsidRDefault="0040534C" w:rsidP="00FE3FE5">
      <w:pPr>
        <w:pStyle w:val="FootnoteText"/>
      </w:pPr>
      <w:r w:rsidRPr="00396960">
        <w:rPr>
          <w:rStyle w:val="FootnoteReference"/>
        </w:rPr>
        <w:footnoteRef/>
      </w:r>
      <w:r w:rsidRPr="00396960">
        <w:t xml:space="preserve"> </w:t>
      </w:r>
      <w:r w:rsidRPr="00396960">
        <w:tab/>
        <w:t>The 2025 Rule of Law Report recommended to Cyprus to “</w:t>
      </w:r>
      <w:r w:rsidRPr="00396960">
        <w:rPr>
          <w:lang w:eastAsia="en-GB"/>
        </w:rPr>
        <w:t>Advance with the legislative reforms to strengthen the Independent Authority against Corruption and continue efforts to ensure it has the human and technical resources to effectively perform its tasks</w:t>
      </w:r>
      <w:r w:rsidRPr="00396960">
        <w:t>”.</w:t>
      </w:r>
      <w:r>
        <w:t xml:space="preserve"> Significant</w:t>
      </w:r>
      <w:r w:rsidRPr="0090398F">
        <w:t xml:space="preserve"> progress was previously assessed on this recommendation </w:t>
      </w:r>
      <w:r w:rsidRPr="00D47AB5">
        <w:t>in 2025 and some progress in 2024.</w:t>
      </w:r>
    </w:p>
  </w:footnote>
  <w:footnote w:id="58">
    <w:p w14:paraId="14753475" w14:textId="14E5BDF7" w:rsidR="0040534C" w:rsidRPr="00396960" w:rsidRDefault="0040534C" w:rsidP="00FE3FE5">
      <w:pPr>
        <w:pStyle w:val="FootnoteText"/>
      </w:pPr>
      <w:r w:rsidRPr="00396960">
        <w:rPr>
          <w:rStyle w:val="FootnoteReference"/>
        </w:rPr>
        <w:footnoteRef/>
      </w:r>
      <w:r w:rsidRPr="00396960">
        <w:t xml:space="preserve"> </w:t>
      </w:r>
      <w:r>
        <w:tab/>
      </w:r>
      <w:r w:rsidRPr="00396960">
        <w:t xml:space="preserve">Cypriot Government </w:t>
      </w:r>
      <w:r>
        <w:t xml:space="preserve">and IAAC </w:t>
      </w:r>
      <w:r w:rsidRPr="00396960">
        <w:t>(2026), written input</w:t>
      </w:r>
      <w:r>
        <w:t>s</w:t>
      </w:r>
      <w:r w:rsidRPr="00396960">
        <w:t>, p</w:t>
      </w:r>
      <w:r>
        <w:t>p</w:t>
      </w:r>
      <w:r w:rsidRPr="00396960">
        <w:t>.</w:t>
      </w:r>
      <w:r>
        <w:t xml:space="preserve"> </w:t>
      </w:r>
      <w:r w:rsidRPr="00396960">
        <w:t>6</w:t>
      </w:r>
      <w:r>
        <w:t xml:space="preserve"> and </w:t>
      </w:r>
      <w:r w:rsidRPr="00396960">
        <w:t>1-2. This number include</w:t>
      </w:r>
      <w:r>
        <w:t>s</w:t>
      </w:r>
      <w:r w:rsidRPr="00396960">
        <w:t xml:space="preserve"> the 4 Members of the Authority and the Commissioner for Transparency. The seventeen (17) members of the staff include an economic affairs officer, six legal officers, three administrative officers, five secretarial officers and two ushers. </w:t>
      </w:r>
      <w:r w:rsidRPr="00222E7A">
        <w:t>For 2026, the IAAC ha</w:t>
      </w:r>
      <w:r>
        <w:t>s</w:t>
      </w:r>
      <w:r w:rsidRPr="00222E7A">
        <w:t xml:space="preserve"> a budget of 1.99€ million</w:t>
      </w:r>
      <w:r>
        <w:t>,</w:t>
      </w:r>
      <w:r w:rsidRPr="004E6F43">
        <w:t xml:space="preserve"> </w:t>
      </w:r>
      <w:r>
        <w:t xml:space="preserve">IAAC </w:t>
      </w:r>
      <w:r w:rsidRPr="00396960">
        <w:t>(2026</w:t>
      </w:r>
      <w:r>
        <w:t>a</w:t>
      </w:r>
      <w:r w:rsidRPr="00396960">
        <w:t>), written input</w:t>
      </w:r>
      <w:r>
        <w:t xml:space="preserve"> p.</w:t>
      </w:r>
      <w:r w:rsidR="00293832">
        <w:t xml:space="preserve"> </w:t>
      </w:r>
      <w:r>
        <w:t>1</w:t>
      </w:r>
      <w:r w:rsidR="00DD3EFA">
        <w:t>.</w:t>
      </w:r>
    </w:p>
  </w:footnote>
  <w:footnote w:id="59">
    <w:p w14:paraId="6F6A3110" w14:textId="77777777" w:rsidR="0040534C" w:rsidRPr="00396960" w:rsidDel="00E14D99" w:rsidRDefault="0040534C" w:rsidP="00FE3FE5">
      <w:pPr>
        <w:pStyle w:val="FootnoteText"/>
      </w:pPr>
      <w:r w:rsidRPr="00396960">
        <w:rPr>
          <w:rStyle w:val="FootnoteReference"/>
        </w:rPr>
        <w:footnoteRef/>
      </w:r>
      <w:r w:rsidRPr="00396960">
        <w:t xml:space="preserve"> </w:t>
      </w:r>
      <w:r w:rsidRPr="00396960">
        <w:tab/>
        <w:t>Cypriot Government and IAAC (2026), written input</w:t>
      </w:r>
      <w:r>
        <w:t>s</w:t>
      </w:r>
      <w:r w:rsidRPr="00396960">
        <w:t>, p</w:t>
      </w:r>
      <w:r>
        <w:t>p</w:t>
      </w:r>
      <w:r w:rsidRPr="00396960">
        <w:t xml:space="preserve">.20 </w:t>
      </w:r>
      <w:r>
        <w:t xml:space="preserve">and </w:t>
      </w:r>
      <w:r w:rsidRPr="00396960">
        <w:t>8. Up to 2025, the total number of complaints received reached 584. To date, 321 complaints have been thoroughly examined and subsequently closed or terminated. Country visit Cyprus, IAAC.</w:t>
      </w:r>
    </w:p>
  </w:footnote>
  <w:footnote w:id="60">
    <w:p w14:paraId="57E9145E" w14:textId="77777777" w:rsidR="0040534C" w:rsidRPr="00396960" w:rsidRDefault="0040534C" w:rsidP="00FE3FE5">
      <w:pPr>
        <w:pStyle w:val="FootnoteText"/>
      </w:pPr>
      <w:r w:rsidRPr="00396960">
        <w:rPr>
          <w:rStyle w:val="FootnoteReference"/>
        </w:rPr>
        <w:footnoteRef/>
      </w:r>
      <w:r w:rsidRPr="00396960">
        <w:t xml:space="preserve"> </w:t>
      </w:r>
      <w:r w:rsidRPr="00396960">
        <w:tab/>
      </w:r>
      <w:r>
        <w:rPr>
          <w:lang w:val="en-US"/>
        </w:rPr>
        <w:t xml:space="preserve">Law </w:t>
      </w:r>
      <w:r w:rsidRPr="00EE38FA">
        <w:t>196(I)/2025</w:t>
      </w:r>
      <w:r>
        <w:t>.</w:t>
      </w:r>
    </w:p>
  </w:footnote>
  <w:footnote w:id="61">
    <w:p w14:paraId="23BF472C" w14:textId="77777777" w:rsidR="0040534C" w:rsidRPr="00396960" w:rsidRDefault="0040534C" w:rsidP="00FE3FE5">
      <w:pPr>
        <w:pStyle w:val="FootnoteText"/>
      </w:pPr>
      <w:r w:rsidRPr="00396960">
        <w:rPr>
          <w:rStyle w:val="FootnoteReference"/>
        </w:rPr>
        <w:footnoteRef/>
      </w:r>
      <w:r w:rsidRPr="00396960">
        <w:tab/>
      </w:r>
      <w:r w:rsidR="030A0BF0" w:rsidRPr="00396960">
        <w:t xml:space="preserve">Cypriot Government </w:t>
      </w:r>
      <w:r w:rsidR="030A0BF0">
        <w:t>and IAAC</w:t>
      </w:r>
      <w:r w:rsidR="030A0BF0" w:rsidRPr="00396960">
        <w:t xml:space="preserve"> (2026), written input</w:t>
      </w:r>
      <w:r w:rsidR="030A0BF0">
        <w:t>s</w:t>
      </w:r>
      <w:r w:rsidR="030A0BF0" w:rsidRPr="00396960">
        <w:t xml:space="preserve">, </w:t>
      </w:r>
      <w:r w:rsidR="030A0BF0">
        <w:t>p</w:t>
      </w:r>
      <w:r w:rsidR="030A0BF0" w:rsidRPr="00396960">
        <w:t>p.8, and 4-5</w:t>
      </w:r>
      <w:r w:rsidR="030A0BF0">
        <w:t xml:space="preserve"> respectively. C</w:t>
      </w:r>
      <w:r w:rsidR="030A0BF0" w:rsidRPr="00396960">
        <w:t xml:space="preserve">ountry visit Cyprus, IAAC. The organisational chart </w:t>
      </w:r>
      <w:r w:rsidR="030A0BF0">
        <w:t>is</w:t>
      </w:r>
      <w:r w:rsidR="030A0BF0" w:rsidRPr="00396960">
        <w:t xml:space="preserve"> approved</w:t>
      </w:r>
      <w:r w:rsidR="030A0BF0">
        <w:t>.</w:t>
      </w:r>
      <w:r w:rsidR="030A0BF0" w:rsidRPr="008D55E9">
        <w:t xml:space="preserve"> Once the Schemes of Service are finalised and ratified by P</w:t>
      </w:r>
      <w:r w:rsidR="030A0BF0">
        <w:t>a</w:t>
      </w:r>
      <w:r w:rsidR="030A0BF0" w:rsidRPr="008D55E9">
        <w:t xml:space="preserve">rliament, </w:t>
      </w:r>
      <w:r w:rsidR="030A0BF0" w:rsidRPr="00396960">
        <w:t xml:space="preserve">the IAAC </w:t>
      </w:r>
      <w:r w:rsidR="030A0BF0">
        <w:t>could</w:t>
      </w:r>
      <w:r w:rsidR="030A0BF0" w:rsidRPr="00396960">
        <w:t xml:space="preserve"> launch recruitment </w:t>
      </w:r>
      <w:r w:rsidR="030A0BF0">
        <w:t>under the new</w:t>
      </w:r>
      <w:r w:rsidR="030A0BF0" w:rsidRPr="00396960">
        <w:t xml:space="preserve"> legal framework.</w:t>
      </w:r>
      <w:r w:rsidR="030A0BF0" w:rsidRPr="00801DEF">
        <w:t xml:space="preserve"> </w:t>
      </w:r>
    </w:p>
  </w:footnote>
  <w:footnote w:id="62">
    <w:p w14:paraId="7C1A2179" w14:textId="77777777" w:rsidR="0040534C" w:rsidRDefault="0040534C" w:rsidP="00FE3FE5">
      <w:pPr>
        <w:pStyle w:val="FootnoteText"/>
      </w:pPr>
      <w:r>
        <w:rPr>
          <w:rStyle w:val="FootnoteReference"/>
        </w:rPr>
        <w:footnoteRef/>
      </w:r>
      <w:r>
        <w:t xml:space="preserve"> </w:t>
      </w:r>
      <w:r>
        <w:tab/>
        <w:t xml:space="preserve">Law </w:t>
      </w:r>
      <w:r w:rsidRPr="009B6C62">
        <w:t>65(Ι)/2026</w:t>
      </w:r>
      <w:r>
        <w:t xml:space="preserve"> and Law </w:t>
      </w:r>
      <w:r w:rsidRPr="009B6C62">
        <w:t>6</w:t>
      </w:r>
      <w:r>
        <w:t>6</w:t>
      </w:r>
      <w:r w:rsidRPr="009B6C62">
        <w:t>(Ι)/2026</w:t>
      </w:r>
      <w:r>
        <w:t>.</w:t>
      </w:r>
    </w:p>
  </w:footnote>
  <w:footnote w:id="63">
    <w:p w14:paraId="7F9C764C" w14:textId="32FEE149" w:rsidR="00F95CBA" w:rsidRDefault="00F95CBA">
      <w:pPr>
        <w:pStyle w:val="FootnoteText"/>
      </w:pPr>
      <w:r>
        <w:rPr>
          <w:rStyle w:val="FootnoteReference"/>
        </w:rPr>
        <w:footnoteRef/>
      </w:r>
      <w:r>
        <w:t xml:space="preserve"> </w:t>
      </w:r>
      <w:r>
        <w:tab/>
      </w:r>
      <w:r w:rsidR="0073543A" w:rsidRPr="00594062">
        <w:t>Oxygen for democracy (2026), written input, p</w:t>
      </w:r>
      <w:r w:rsidR="00D85C25" w:rsidRPr="00594062">
        <w:t>.</w:t>
      </w:r>
      <w:r w:rsidR="0073543A" w:rsidRPr="00594062">
        <w:t>40. See also above, Pillar I.</w:t>
      </w:r>
    </w:p>
  </w:footnote>
  <w:footnote w:id="64">
    <w:p w14:paraId="73B25DEC" w14:textId="62B6D34E" w:rsidR="00CD438B" w:rsidRPr="003D22E4" w:rsidRDefault="00CD438B" w:rsidP="00CD438B">
      <w:pPr>
        <w:pStyle w:val="FootnoteText"/>
        <w:rPr>
          <w:lang w:val="en-IE"/>
        </w:rPr>
      </w:pPr>
      <w:r>
        <w:rPr>
          <w:rStyle w:val="FootnoteReference"/>
        </w:rPr>
        <w:footnoteRef/>
      </w:r>
      <w:r>
        <w:t xml:space="preserve"> </w:t>
      </w:r>
      <w:r>
        <w:tab/>
      </w:r>
      <w:r w:rsidRPr="00C002DF">
        <w:t xml:space="preserve">The </w:t>
      </w:r>
      <w:r>
        <w:t xml:space="preserve">entire </w:t>
      </w:r>
      <w:r w:rsidRPr="00C002DF">
        <w:t>report</w:t>
      </w:r>
      <w:r>
        <w:t xml:space="preserve"> </w:t>
      </w:r>
      <w:r w:rsidRPr="00C002DF">
        <w:t>has been transmitted to the Attorney General and tax authorities</w:t>
      </w:r>
      <w:r>
        <w:t>, p</w:t>
      </w:r>
      <w:r w:rsidRPr="00545479">
        <w:t>ress release, IAAC, 16 June 2026</w:t>
      </w:r>
      <w:r w:rsidR="00B01E27">
        <w:t xml:space="preserve"> and</w:t>
      </w:r>
      <w:r>
        <w:t xml:space="preserve"> </w:t>
      </w:r>
      <w:r w:rsidRPr="00857FC1">
        <w:rPr>
          <w:lang w:val="en-IE"/>
        </w:rPr>
        <w:t>p</w:t>
      </w:r>
      <w:r w:rsidRPr="00857FC1">
        <w:t>ress release, Law Office, 17 June 2026.</w:t>
      </w:r>
    </w:p>
  </w:footnote>
  <w:footnote w:id="65">
    <w:p w14:paraId="0EE139E5" w14:textId="7F73C8EB" w:rsidR="001D7135" w:rsidRDefault="001D7135">
      <w:pPr>
        <w:pStyle w:val="FootnoteText"/>
      </w:pPr>
      <w:r>
        <w:rPr>
          <w:rStyle w:val="FootnoteReference"/>
        </w:rPr>
        <w:footnoteRef/>
      </w:r>
      <w:r>
        <w:t xml:space="preserve"> </w:t>
      </w:r>
      <w:r w:rsidR="00A00557">
        <w:t xml:space="preserve"> </w:t>
      </w:r>
      <w:r w:rsidR="00293832">
        <w:tab/>
      </w:r>
      <w:r w:rsidR="00A00557">
        <w:t>Cyprus Mail (2026)</w:t>
      </w:r>
      <w:r w:rsidR="00B318F3">
        <w:t xml:space="preserve"> and </w:t>
      </w:r>
      <w:r w:rsidR="00DC5888">
        <w:t>P</w:t>
      </w:r>
      <w:r w:rsidR="00B318F3">
        <w:t>olitis (2026)</w:t>
      </w:r>
    </w:p>
  </w:footnote>
  <w:footnote w:id="66">
    <w:p w14:paraId="11830B88" w14:textId="77777777" w:rsidR="0040534C" w:rsidRPr="00D305E1" w:rsidRDefault="0040534C" w:rsidP="00FE3FE5">
      <w:pPr>
        <w:pStyle w:val="FootnoteText"/>
      </w:pPr>
      <w:r>
        <w:rPr>
          <w:rStyle w:val="FootnoteReference"/>
        </w:rPr>
        <w:footnoteRef/>
      </w:r>
      <w:r>
        <w:t xml:space="preserve"> </w:t>
      </w:r>
      <w:r>
        <w:tab/>
        <w:t>Two bills tabled by MPs proposing to grant the IAAC powers to initiate private criminal prosecutions (2022) and transforming it into a public law entity (2025) are pending and have not been discussed.</w:t>
      </w:r>
    </w:p>
  </w:footnote>
  <w:footnote w:id="67">
    <w:p w14:paraId="6B5E1B86" w14:textId="77777777" w:rsidR="0040534C" w:rsidRPr="00396960" w:rsidRDefault="0040534C" w:rsidP="00FE3FE5">
      <w:pPr>
        <w:pStyle w:val="FootnoteText"/>
      </w:pPr>
      <w:r w:rsidRPr="00396960">
        <w:rPr>
          <w:rStyle w:val="FootnoteReference"/>
        </w:rPr>
        <w:footnoteRef/>
      </w:r>
      <w:r w:rsidRPr="00396960">
        <w:t xml:space="preserve"> </w:t>
      </w:r>
      <w:r w:rsidRPr="00396960">
        <w:tab/>
        <w:t>Oxygen for democracy (2026), written input, pp.21-22</w:t>
      </w:r>
      <w:r>
        <w:t xml:space="preserve"> and 40</w:t>
      </w:r>
      <w:r w:rsidRPr="00396960">
        <w:t>.</w:t>
      </w:r>
      <w:r>
        <w:t xml:space="preserve"> See also above, Pillar I. </w:t>
      </w:r>
    </w:p>
  </w:footnote>
  <w:footnote w:id="68">
    <w:p w14:paraId="107A0C6E" w14:textId="1087F001" w:rsidR="00BC0D5D" w:rsidRDefault="00BC0D5D" w:rsidP="00BC0D5D">
      <w:pPr>
        <w:pStyle w:val="FootnoteText"/>
      </w:pPr>
      <w:r>
        <w:rPr>
          <w:rStyle w:val="FootnoteReference"/>
        </w:rPr>
        <w:footnoteRef/>
      </w:r>
      <w:r>
        <w:t xml:space="preserve"> </w:t>
      </w:r>
      <w:r>
        <w:tab/>
      </w:r>
      <w:r w:rsidR="00BE38F0">
        <w:t>the two</w:t>
      </w:r>
      <w:r>
        <w:t xml:space="preserve"> legal proposals are complementary and provide that </w:t>
      </w:r>
      <w:r w:rsidRPr="00556F25">
        <w:t>the Authority w</w:t>
      </w:r>
      <w:r>
        <w:t xml:space="preserve">ould </w:t>
      </w:r>
      <w:r w:rsidRPr="00556F25">
        <w:t>be able</w:t>
      </w:r>
      <w:r>
        <w:t xml:space="preserve"> </w:t>
      </w:r>
      <w:r w:rsidRPr="00556F25">
        <w:t>to choose between two institutional avenues:</w:t>
      </w:r>
      <w:r>
        <w:t xml:space="preserve"> </w:t>
      </w:r>
      <w:r w:rsidRPr="00556F25">
        <w:t>to draw up a report and submit it, together with the information in its possession, to the Attorney General of the Republic, in accordance with the existing procedure; or</w:t>
      </w:r>
      <w:r>
        <w:t xml:space="preserve"> </w:t>
      </w:r>
      <w:r w:rsidRPr="00556F25">
        <w:t xml:space="preserve">to </w:t>
      </w:r>
      <w:r>
        <w:t>appoint</w:t>
      </w:r>
      <w:r w:rsidRPr="00556F25">
        <w:t xml:space="preserve"> a criminal investigator, so that the criminal investigation may begin immediately</w:t>
      </w:r>
      <w:r>
        <w:t>.</w:t>
      </w:r>
      <w:r w:rsidR="00BE38F0" w:rsidRPr="00BE38F0">
        <w:t xml:space="preserve"> </w:t>
      </w:r>
      <w:r w:rsidR="00DB3CF9">
        <w:t xml:space="preserve">Under the </w:t>
      </w:r>
      <w:r w:rsidR="00BE38F0">
        <w:t>third proposal</w:t>
      </w:r>
      <w:r w:rsidR="00DB3CF9">
        <w:t xml:space="preserve">, </w:t>
      </w:r>
      <w:r w:rsidR="001A0D3C">
        <w:t xml:space="preserve">the IAAC would also have </w:t>
      </w:r>
      <w:r w:rsidR="001A0D3C">
        <w:rPr>
          <w:rStyle w:val="Bodytext1"/>
        </w:rPr>
        <w:t xml:space="preserve">the additional possibility to proceed with the appointment of independent criminal investigators. These </w:t>
      </w:r>
      <w:r w:rsidR="00BE38F0">
        <w:t>w</w:t>
      </w:r>
      <w:r w:rsidR="00DB3CF9">
        <w:t xml:space="preserve">ould </w:t>
      </w:r>
      <w:r w:rsidR="00BE38F0">
        <w:t>be appointed from a list drawn up by the Cyprus Bar Association and approved by the Attorney General</w:t>
      </w:r>
      <w:r w:rsidR="00DB3CF9">
        <w:t>.</w:t>
      </w:r>
    </w:p>
  </w:footnote>
  <w:footnote w:id="69">
    <w:p w14:paraId="1452C996" w14:textId="77777777" w:rsidR="0040534C" w:rsidRPr="00396960" w:rsidRDefault="0040534C" w:rsidP="00FE3FE5">
      <w:pPr>
        <w:pStyle w:val="FootnoteText"/>
        <w:rPr>
          <w:rFonts w:eastAsia="Calibri"/>
        </w:rPr>
      </w:pPr>
      <w:r w:rsidRPr="00396960">
        <w:rPr>
          <w:rStyle w:val="FootnoteReference"/>
        </w:rPr>
        <w:footnoteRef/>
      </w:r>
      <w:r w:rsidRPr="00396960">
        <w:t xml:space="preserve"> </w:t>
      </w:r>
      <w:r w:rsidRPr="00396960">
        <w:tab/>
        <w:t>Cypriot Government and IAAC (2026), written input</w:t>
      </w:r>
      <w:r>
        <w:t>s</w:t>
      </w:r>
      <w:r w:rsidRPr="00396960">
        <w:t>, p</w:t>
      </w:r>
      <w:r>
        <w:t>p</w:t>
      </w:r>
      <w:r w:rsidRPr="00396960">
        <w:t>.21</w:t>
      </w:r>
      <w:r>
        <w:t xml:space="preserve"> and</w:t>
      </w:r>
      <w:r w:rsidRPr="00396960">
        <w:t xml:space="preserve"> 11</w:t>
      </w:r>
      <w:r>
        <w:t xml:space="preserve">; and </w:t>
      </w:r>
      <w:r w:rsidRPr="00396960">
        <w:t>IAAC (2026</w:t>
      </w:r>
      <w:r>
        <w:t>a</w:t>
      </w:r>
      <w:r w:rsidRPr="00396960">
        <w:t xml:space="preserve">), written input, p.3. </w:t>
      </w:r>
      <w:r w:rsidRPr="009B7F5B">
        <w:t>Approximately 300 officers from the public sector have been designated to serve as the primary focal points with the IAAC. In addition, the IAAC has established a centralised electronic registry to streamline communication, coordination and the future implementation of sectoral strategies.</w:t>
      </w:r>
    </w:p>
  </w:footnote>
  <w:footnote w:id="70">
    <w:p w14:paraId="470C342B" w14:textId="77777777" w:rsidR="0040534C" w:rsidRPr="00396960" w:rsidRDefault="0040534C" w:rsidP="00FE3FE5">
      <w:pPr>
        <w:pStyle w:val="FootnoteText"/>
      </w:pPr>
      <w:r w:rsidRPr="00396960">
        <w:rPr>
          <w:rStyle w:val="FootnoteReference"/>
        </w:rPr>
        <w:footnoteRef/>
      </w:r>
      <w:r>
        <w:t xml:space="preserve"> </w:t>
      </w:r>
      <w:r>
        <w:tab/>
      </w:r>
      <w:r w:rsidRPr="00396960">
        <w:t>Cypriot Government (2026), annex, p.</w:t>
      </w:r>
      <w:r>
        <w:t xml:space="preserve"> </w:t>
      </w:r>
      <w:r w:rsidRPr="00396960">
        <w:t>19. The program</w:t>
      </w:r>
      <w:r>
        <w:t>me</w:t>
      </w:r>
      <w:r w:rsidRPr="00396960">
        <w:t xml:space="preserve"> addresses foreign bribery risks, including third-party due diligence, internal controls, whistleblowing mechanisms, and risk assessments for cross-border activities.</w:t>
      </w:r>
    </w:p>
  </w:footnote>
  <w:footnote w:id="71">
    <w:p w14:paraId="3A3A23B2" w14:textId="651584BC" w:rsidR="0040534C" w:rsidRPr="00396960" w:rsidRDefault="0040534C" w:rsidP="00FE3FE5">
      <w:pPr>
        <w:pStyle w:val="FootnoteText"/>
      </w:pPr>
      <w:r w:rsidRPr="00396960">
        <w:rPr>
          <w:rStyle w:val="FootnoteReference"/>
        </w:rPr>
        <w:footnoteRef/>
      </w:r>
      <w:r w:rsidRPr="00396960">
        <w:t xml:space="preserve"> </w:t>
      </w:r>
      <w:r>
        <w:tab/>
      </w:r>
      <w:r w:rsidRPr="00396960">
        <w:t xml:space="preserve">Civil society </w:t>
      </w:r>
      <w:r w:rsidRPr="00396960">
        <w:rPr>
          <w:rFonts w:eastAsia="Calibri"/>
        </w:rPr>
        <w:t>highlighted that the strategy should be more detailed with specific objectives which can be evaluated and measurable and based on research, with more available funds</w:t>
      </w:r>
      <w:r w:rsidRPr="00396960">
        <w:t>, Foundation Fimonoi (2026), written input, p</w:t>
      </w:r>
      <w:r w:rsidR="00B54BF9">
        <w:t>.</w:t>
      </w:r>
      <w:r w:rsidRPr="00396960">
        <w:t xml:space="preserve"> 2.</w:t>
      </w:r>
    </w:p>
  </w:footnote>
  <w:footnote w:id="72">
    <w:p w14:paraId="637847D7" w14:textId="77777777" w:rsidR="0040534C" w:rsidRPr="00396960" w:rsidRDefault="0040534C" w:rsidP="00FE3FE5">
      <w:pPr>
        <w:pStyle w:val="FootnoteText"/>
      </w:pPr>
      <w:r w:rsidRPr="00396960">
        <w:rPr>
          <w:rStyle w:val="FootnoteReference"/>
        </w:rPr>
        <w:footnoteRef/>
      </w:r>
      <w:r w:rsidRPr="00396960">
        <w:t xml:space="preserve"> </w:t>
      </w:r>
      <w:r>
        <w:tab/>
      </w:r>
      <w:r w:rsidRPr="00396960">
        <w:t xml:space="preserve">Cypriot Government </w:t>
      </w:r>
      <w:r>
        <w:t xml:space="preserve">and IAAC </w:t>
      </w:r>
      <w:r w:rsidRPr="00396960">
        <w:t>(2026), written input</w:t>
      </w:r>
      <w:r>
        <w:t>s</w:t>
      </w:r>
      <w:r w:rsidRPr="00396960">
        <w:t>, p</w:t>
      </w:r>
      <w:r>
        <w:t>p</w:t>
      </w:r>
      <w:r w:rsidRPr="00396960">
        <w:t xml:space="preserve">.21 and 10. </w:t>
      </w:r>
    </w:p>
  </w:footnote>
  <w:footnote w:id="73">
    <w:p w14:paraId="1868FDB1" w14:textId="77777777" w:rsidR="0040534C" w:rsidRPr="00396960" w:rsidRDefault="0040534C" w:rsidP="00FE3FE5">
      <w:pPr>
        <w:pStyle w:val="FootnoteText"/>
      </w:pPr>
      <w:r w:rsidRPr="00396960">
        <w:rPr>
          <w:rStyle w:val="FootnoteReference"/>
        </w:rPr>
        <w:footnoteRef/>
      </w:r>
      <w:r w:rsidRPr="00396960">
        <w:t xml:space="preserve"> </w:t>
      </w:r>
      <w:r>
        <w:tab/>
      </w:r>
      <w:r w:rsidRPr="00396960">
        <w:t>Cypriot Government (2026), written input, p.</w:t>
      </w:r>
      <w:r>
        <w:t xml:space="preserve"> </w:t>
      </w:r>
      <w:r w:rsidRPr="00396960">
        <w:t>22.</w:t>
      </w:r>
    </w:p>
  </w:footnote>
  <w:footnote w:id="74">
    <w:p w14:paraId="0ED92913" w14:textId="77777777" w:rsidR="0040534C" w:rsidRDefault="0040534C" w:rsidP="00FE3FE5">
      <w:pPr>
        <w:pStyle w:val="FootnoteText"/>
      </w:pPr>
      <w:r>
        <w:rPr>
          <w:rStyle w:val="FootnoteReference"/>
        </w:rPr>
        <w:footnoteRef/>
      </w:r>
      <w:r>
        <w:t xml:space="preserve"> </w:t>
      </w:r>
      <w:r>
        <w:tab/>
      </w:r>
      <w:r w:rsidRPr="00396960">
        <w:t>Oxygen for democracy (2026), written input, pp.</w:t>
      </w:r>
      <w:r>
        <w:t xml:space="preserve"> </w:t>
      </w:r>
      <w:r w:rsidRPr="00396960">
        <w:t>2</w:t>
      </w:r>
      <w:r>
        <w:t>2-</w:t>
      </w:r>
      <w:r w:rsidRPr="00396960">
        <w:t>2</w:t>
      </w:r>
      <w:r>
        <w:t>3.</w:t>
      </w:r>
    </w:p>
  </w:footnote>
  <w:footnote w:id="75">
    <w:p w14:paraId="3C09731A" w14:textId="77777777" w:rsidR="0040534C" w:rsidRPr="00396960" w:rsidRDefault="0040534C" w:rsidP="00FE3FE5">
      <w:pPr>
        <w:pStyle w:val="FootnoteText"/>
      </w:pPr>
      <w:r w:rsidRPr="00396960">
        <w:rPr>
          <w:rStyle w:val="FootnoteReference"/>
        </w:rPr>
        <w:footnoteRef/>
      </w:r>
      <w:r w:rsidRPr="00396960">
        <w:t xml:space="preserve"> </w:t>
      </w:r>
      <w:r w:rsidRPr="00396960">
        <w:tab/>
        <w:t>Cypriot Government (2026), annex, pp.20-21. These include two cases that were initiated in 2022, one case that was initiated in 2021 and one case that was initiated in 2020</w:t>
      </w:r>
      <w:r>
        <w:t>.</w:t>
      </w:r>
    </w:p>
  </w:footnote>
  <w:footnote w:id="76">
    <w:p w14:paraId="519184EF" w14:textId="77777777" w:rsidR="0040534C" w:rsidRPr="0015060B" w:rsidRDefault="0040534C" w:rsidP="00FE3FE5">
      <w:pPr>
        <w:pStyle w:val="FootnoteText"/>
      </w:pPr>
      <w:r>
        <w:rPr>
          <w:rStyle w:val="FootnoteReference"/>
        </w:rPr>
        <w:footnoteRef/>
      </w:r>
      <w:r>
        <w:t xml:space="preserve"> </w:t>
      </w:r>
      <w:r>
        <w:tab/>
        <w:t>T</w:t>
      </w:r>
      <w:r w:rsidRPr="0097111C">
        <w:rPr>
          <w:rFonts w:eastAsia="Calibri"/>
          <w:bCs/>
          <w:color w:val="000000"/>
          <w:szCs w:val="24"/>
          <w:lang w:bidi="en-US"/>
          <w14:ligatures w14:val="standardContextual"/>
        </w:rPr>
        <w:t xml:space="preserve">hree </w:t>
      </w:r>
      <w:r>
        <w:rPr>
          <w:rFonts w:eastAsia="Calibri"/>
          <w:bCs/>
          <w:color w:val="000000"/>
          <w:szCs w:val="24"/>
          <w:lang w:bidi="en-US"/>
          <w14:ligatures w14:val="standardContextual"/>
        </w:rPr>
        <w:t xml:space="preserve">of these investigations </w:t>
      </w:r>
      <w:r w:rsidRPr="0097111C">
        <w:rPr>
          <w:rFonts w:eastAsia="Calibri"/>
          <w:bCs/>
          <w:color w:val="000000"/>
          <w:szCs w:val="24"/>
          <w:lang w:bidi="en-US"/>
          <w14:ligatures w14:val="standardContextual"/>
        </w:rPr>
        <w:t>were initially handled by the IAAC</w:t>
      </w:r>
      <w:r>
        <w:rPr>
          <w:rFonts w:eastAsia="Calibri"/>
          <w:bCs/>
          <w:color w:val="000000"/>
          <w:szCs w:val="24"/>
          <w:lang w:bidi="en-US"/>
          <w14:ligatures w14:val="standardContextual"/>
        </w:rPr>
        <w:t>.</w:t>
      </w:r>
      <w:r w:rsidRPr="0065249B">
        <w:t xml:space="preserve"> </w:t>
      </w:r>
      <w:r w:rsidRPr="00396960">
        <w:t xml:space="preserve">Cypriot Government (2026), annex, pp.20-21. </w:t>
      </w:r>
      <w:r w:rsidRPr="00411FA0">
        <w:rPr>
          <w:rFonts w:eastAsia="Calibri"/>
          <w:color w:val="000000"/>
          <w:szCs w:val="24"/>
          <w:lang w:bidi="en-US"/>
          <w14:ligatures w14:val="standardContextual"/>
        </w:rPr>
        <w:t>Last year, th</w:t>
      </w:r>
      <w:r>
        <w:rPr>
          <w:rFonts w:eastAsia="Calibri"/>
          <w:bCs/>
          <w:color w:val="000000"/>
          <w:szCs w:val="24"/>
          <w:lang w:bidi="en-US"/>
          <w14:ligatures w14:val="standardContextual"/>
        </w:rPr>
        <w:t>e</w:t>
      </w:r>
      <w:r w:rsidRPr="00411FA0">
        <w:rPr>
          <w:rFonts w:eastAsia="Calibri"/>
          <w:color w:val="000000"/>
          <w:szCs w:val="24"/>
          <w:lang w:bidi="en-US"/>
          <w14:ligatures w14:val="standardContextual"/>
        </w:rPr>
        <w:t xml:space="preserve">re were five convictions and </w:t>
      </w:r>
      <w:r>
        <w:rPr>
          <w:rFonts w:eastAsia="Calibri"/>
          <w:bCs/>
          <w:color w:val="000000"/>
          <w:szCs w:val="24"/>
          <w:lang w:bidi="en-US"/>
          <w14:ligatures w14:val="standardContextual"/>
        </w:rPr>
        <w:t xml:space="preserve">13 </w:t>
      </w:r>
      <w:r w:rsidRPr="00411FA0">
        <w:rPr>
          <w:rFonts w:eastAsia="Calibri"/>
          <w:color w:val="000000"/>
          <w:szCs w:val="24"/>
          <w:lang w:bidi="en-US"/>
          <w14:ligatures w14:val="standardContextual"/>
        </w:rPr>
        <w:t>investigations</w:t>
      </w:r>
      <w:r>
        <w:rPr>
          <w:rFonts w:eastAsia="Calibri"/>
          <w:bCs/>
          <w:color w:val="000000"/>
          <w:szCs w:val="24"/>
          <w:lang w:bidi="en-US"/>
          <w14:ligatures w14:val="standardContextual"/>
        </w:rPr>
        <w:t xml:space="preserve">, </w:t>
      </w:r>
      <w:r w:rsidRPr="00A52F56">
        <w:t>2025 Rule of Law Report, Cyprus, p. 9</w:t>
      </w:r>
      <w:r w:rsidRPr="00411FA0">
        <w:rPr>
          <w:rFonts w:eastAsia="Calibri"/>
          <w:color w:val="000000"/>
          <w:szCs w:val="24"/>
          <w:lang w:bidi="en-US"/>
          <w14:ligatures w14:val="standardContextual"/>
        </w:rPr>
        <w:t>.</w:t>
      </w:r>
      <w:r w:rsidRPr="00396960">
        <w:t xml:space="preserve"> </w:t>
      </w:r>
      <w:r>
        <w:t>A</w:t>
      </w:r>
      <w:r w:rsidRPr="00513F50">
        <w:t>ccording to two press releases of the Law Office of 12 and 13 January 2026, there are ongoing investigations in relation to a video posted on the social media platform “X” on 8 January 2026. The Police is examining both the issue of hybrid activity against the Republic of Cyprus and the content of the video in terms of possible criminal offences.</w:t>
      </w:r>
    </w:p>
  </w:footnote>
  <w:footnote w:id="77">
    <w:p w14:paraId="12F4E22D" w14:textId="5D92C52F" w:rsidR="003E2159" w:rsidRDefault="003E2159">
      <w:pPr>
        <w:pStyle w:val="FootnoteText"/>
      </w:pPr>
      <w:r>
        <w:rPr>
          <w:rStyle w:val="FootnoteReference"/>
        </w:rPr>
        <w:footnoteRef/>
      </w:r>
      <w:r>
        <w:t xml:space="preserve"> </w:t>
      </w:r>
      <w:r w:rsidR="00125F71">
        <w:t xml:space="preserve"> </w:t>
      </w:r>
      <w:r w:rsidR="00125F71">
        <w:tab/>
        <w:t>C</w:t>
      </w:r>
      <w:r w:rsidR="00125F71" w:rsidRPr="00396960">
        <w:t>ypriot Government (2026</w:t>
      </w:r>
      <w:r w:rsidR="00125F71">
        <w:t>c</w:t>
      </w:r>
      <w:r w:rsidR="00125F71" w:rsidRPr="00396960">
        <w:t>)</w:t>
      </w:r>
      <w:r w:rsidR="00125F71">
        <w:t xml:space="preserve">. The data concern the period going </w:t>
      </w:r>
      <w:r w:rsidR="00125F71" w:rsidRPr="0076615B">
        <w:rPr>
          <w:szCs w:val="24"/>
        </w:rPr>
        <w:t>from the establishment of the IAAC up to 2025.</w:t>
      </w:r>
    </w:p>
  </w:footnote>
  <w:footnote w:id="78">
    <w:p w14:paraId="56A5B285" w14:textId="7112E18C" w:rsidR="0040534C" w:rsidRPr="00396960" w:rsidRDefault="0040534C" w:rsidP="00FE3FE5">
      <w:pPr>
        <w:pStyle w:val="FootnoteText"/>
      </w:pPr>
      <w:r w:rsidRPr="00396960">
        <w:rPr>
          <w:rStyle w:val="FootnoteReference"/>
        </w:rPr>
        <w:footnoteRef/>
      </w:r>
      <w:r w:rsidRPr="00396960">
        <w:t xml:space="preserve"> </w:t>
      </w:r>
      <w:r>
        <w:tab/>
      </w:r>
      <w:r w:rsidRPr="00396960">
        <w:t xml:space="preserve">Cypriot Government </w:t>
      </w:r>
      <w:r>
        <w:t xml:space="preserve">and IAAC </w:t>
      </w:r>
      <w:r w:rsidRPr="00396960">
        <w:t>(2026), written input</w:t>
      </w:r>
      <w:r>
        <w:t>s</w:t>
      </w:r>
      <w:r w:rsidRPr="00396960">
        <w:t xml:space="preserve">, </w:t>
      </w:r>
      <w:r>
        <w:t>p</w:t>
      </w:r>
      <w:r w:rsidRPr="00396960">
        <w:t>p.20 and 8.</w:t>
      </w:r>
      <w:r w:rsidRPr="00A52F56">
        <w:t xml:space="preserve"> Last year, the IAAC transmitted to the Attorney General one major suspected investigation and was dealing with </w:t>
      </w:r>
      <w:r>
        <w:t>eight</w:t>
      </w:r>
      <w:r w:rsidRPr="00A52F56">
        <w:t xml:space="preserve"> corruption investigations, 2025 Rule of Law Report, Cyprus, p. 9.</w:t>
      </w:r>
    </w:p>
  </w:footnote>
  <w:footnote w:id="79">
    <w:p w14:paraId="2DBE6F29" w14:textId="2CDDEBE8" w:rsidR="0040534C" w:rsidRPr="00396960" w:rsidRDefault="0040534C" w:rsidP="00FE3FE5">
      <w:pPr>
        <w:pStyle w:val="FootnoteText"/>
      </w:pPr>
      <w:r w:rsidRPr="00396960">
        <w:rPr>
          <w:rStyle w:val="FootnoteReference"/>
        </w:rPr>
        <w:footnoteRef/>
      </w:r>
      <w:r w:rsidRPr="00396960">
        <w:t xml:space="preserve"> </w:t>
      </w:r>
      <w:r w:rsidRPr="00396960">
        <w:tab/>
        <w:t xml:space="preserve">Two cases were brought before the Court. One case is under investigation and three cases were forwarded to the Attorneys General </w:t>
      </w:r>
      <w:r w:rsidR="006545F9">
        <w:t xml:space="preserve">for </w:t>
      </w:r>
      <w:r w:rsidRPr="00396960">
        <w:t>instructions. Cypriot Government (2026), annex, pp.</w:t>
      </w:r>
      <w:r w:rsidR="000E6853">
        <w:t xml:space="preserve"> </w:t>
      </w:r>
      <w:r w:rsidRPr="00396960">
        <w:t>20-21.</w:t>
      </w:r>
    </w:p>
  </w:footnote>
  <w:footnote w:id="80">
    <w:p w14:paraId="7DBB3F5F" w14:textId="58AFE176" w:rsidR="0040534C" w:rsidRPr="00AD2DEB" w:rsidRDefault="0040534C" w:rsidP="00FE3FE5">
      <w:pPr>
        <w:pStyle w:val="FootnoteText"/>
      </w:pPr>
      <w:r w:rsidRPr="00396960">
        <w:rPr>
          <w:rStyle w:val="FootnoteReference"/>
        </w:rPr>
        <w:footnoteRef/>
      </w:r>
      <w:r w:rsidRPr="00396960">
        <w:t xml:space="preserve"> </w:t>
      </w:r>
      <w:r w:rsidRPr="00396960">
        <w:tab/>
      </w:r>
      <w:r>
        <w:t>In</w:t>
      </w:r>
      <w:r w:rsidRPr="00396960">
        <w:t xml:space="preserve"> December 2025, </w:t>
      </w:r>
      <w:r w:rsidRPr="00396960" w:rsidDel="00D40B0B">
        <w:t xml:space="preserve">the </w:t>
      </w:r>
      <w:r w:rsidRPr="00396960">
        <w:t>Civil Registry (Amendment) (No 2) Law of 2025 entered into force revok</w:t>
      </w:r>
      <w:r>
        <w:t>ing</w:t>
      </w:r>
      <w:r w:rsidRPr="00396960">
        <w:t xml:space="preserve"> the legal basis of the investor citizenship scheme while providing for the continued application of relevant monitoring and control provisions </w:t>
      </w:r>
      <w:r w:rsidRPr="00AD2DEB">
        <w:t xml:space="preserve">in relation to applications that had been submitted under the investor citizenship scheme up to 30 October 2020. </w:t>
      </w:r>
      <w:r>
        <w:t xml:space="preserve">As the legal basis of the investor citizenship scheme has been revoked, the Commission closed its infringement procedure regarding the Cypriot investor citizenship scheme on 11 March 2026. </w:t>
      </w:r>
    </w:p>
  </w:footnote>
  <w:footnote w:id="81">
    <w:p w14:paraId="137B2AA8" w14:textId="353B71A7" w:rsidR="0040534C" w:rsidRPr="00AD2DEB" w:rsidRDefault="0040534C" w:rsidP="00FE3FE5">
      <w:pPr>
        <w:pStyle w:val="FootnoteText"/>
      </w:pPr>
      <w:r w:rsidRPr="00AD2DEB">
        <w:rPr>
          <w:rStyle w:val="FootnoteReference"/>
        </w:rPr>
        <w:footnoteRef/>
      </w:r>
      <w:r w:rsidRPr="00AD2DEB">
        <w:t xml:space="preserve"> </w:t>
      </w:r>
      <w:r w:rsidRPr="00AD2DEB">
        <w:tab/>
      </w:r>
      <w:r w:rsidR="00E87A0D">
        <w:t xml:space="preserve"> </w:t>
      </w:r>
      <w:r>
        <w:t>Including a</w:t>
      </w:r>
      <w:r w:rsidRPr="00AD2DEB">
        <w:t xml:space="preserve"> criminal case in relation to two former Ministers. Cypriot Government (2026), annex, pp.</w:t>
      </w:r>
      <w:r>
        <w:t xml:space="preserve"> </w:t>
      </w:r>
      <w:r w:rsidRPr="00AD2DEB">
        <w:t xml:space="preserve">20-21. </w:t>
      </w:r>
    </w:p>
  </w:footnote>
  <w:footnote w:id="82">
    <w:p w14:paraId="77202E58" w14:textId="77777777" w:rsidR="0040534C" w:rsidRPr="00AD2DEB" w:rsidRDefault="0040534C" w:rsidP="00FE3FE5">
      <w:pPr>
        <w:pStyle w:val="FootnoteText"/>
      </w:pPr>
      <w:r w:rsidRPr="00AD2DEB">
        <w:rPr>
          <w:rStyle w:val="FootnoteReference"/>
        </w:rPr>
        <w:footnoteRef/>
      </w:r>
      <w:r w:rsidRPr="00AD2DEB">
        <w:t xml:space="preserve"> </w:t>
      </w:r>
      <w:r w:rsidRPr="00AD2DEB">
        <w:tab/>
      </w:r>
      <w:r w:rsidRPr="00571CC4">
        <w:t>EPPO (202</w:t>
      </w:r>
      <w:r>
        <w:t>6</w:t>
      </w:r>
      <w:r w:rsidRPr="00571CC4">
        <w:t>), Annual Report 202</w:t>
      </w:r>
      <w:r>
        <w:t>5</w:t>
      </w:r>
      <w:r w:rsidRPr="00571CC4">
        <w:t xml:space="preserve">, p. </w:t>
      </w:r>
      <w:r>
        <w:t>19</w:t>
      </w:r>
      <w:r w:rsidRPr="00571CC4">
        <w:t xml:space="preserve">. </w:t>
      </w:r>
    </w:p>
  </w:footnote>
  <w:footnote w:id="83">
    <w:p w14:paraId="289ED277" w14:textId="59BC1A45" w:rsidR="0040534C" w:rsidRPr="00AD2DEB" w:rsidRDefault="0040534C" w:rsidP="00FE3FE5">
      <w:pPr>
        <w:pStyle w:val="FootnoteText"/>
      </w:pPr>
      <w:r w:rsidRPr="00AD2DEB">
        <w:rPr>
          <w:rStyle w:val="FootnoteReference"/>
        </w:rPr>
        <w:footnoteRef/>
      </w:r>
      <w:r w:rsidR="000E6853">
        <w:tab/>
      </w:r>
      <w:r w:rsidRPr="00AD2DEB">
        <w:t xml:space="preserve">Oxygen for democracy (2026), written input, p.31. Certain parts of the public sector </w:t>
      </w:r>
      <w:r>
        <w:t>do not</w:t>
      </w:r>
      <w:r w:rsidRPr="00AD2DEB">
        <w:t xml:space="preserve"> publish an annual report, including the Ministry of Justice &amp; Public Order or the Law Office, </w:t>
      </w:r>
      <w:r w:rsidRPr="005B3FD1">
        <w:t>CRoLEV</w:t>
      </w:r>
      <w:r>
        <w:t xml:space="preserve"> </w:t>
      </w:r>
      <w:r w:rsidRPr="005B3FD1">
        <w:t xml:space="preserve">(2026), </w:t>
      </w:r>
      <w:r w:rsidRPr="00B611DB">
        <w:t xml:space="preserve">annex, </w:t>
      </w:r>
      <w:r w:rsidRPr="005B3FD1">
        <w:t>p.</w:t>
      </w:r>
      <w:r w:rsidR="000E6853">
        <w:t xml:space="preserve"> </w:t>
      </w:r>
      <w:r w:rsidRPr="005B3FD1">
        <w:t>4.</w:t>
      </w:r>
    </w:p>
  </w:footnote>
  <w:footnote w:id="84">
    <w:p w14:paraId="6FFCF9AB" w14:textId="1D80DD12" w:rsidR="0040534C" w:rsidRPr="00396960" w:rsidRDefault="0040534C" w:rsidP="00FE3FE5">
      <w:pPr>
        <w:pStyle w:val="FootnoteText"/>
      </w:pPr>
      <w:r w:rsidRPr="00396960">
        <w:rPr>
          <w:rStyle w:val="FootnoteReference"/>
        </w:rPr>
        <w:footnoteRef/>
      </w:r>
      <w:r w:rsidRPr="00396960">
        <w:tab/>
        <w:t>Cypriot Government (2026), written input, p</w:t>
      </w:r>
      <w:r w:rsidR="000E6853">
        <w:t>.</w:t>
      </w:r>
      <w:r w:rsidRPr="00396960">
        <w:t xml:space="preserve"> 23. </w:t>
      </w:r>
    </w:p>
  </w:footnote>
  <w:footnote w:id="85">
    <w:p w14:paraId="5702F82D" w14:textId="77777777" w:rsidR="0040534C" w:rsidRDefault="0040534C" w:rsidP="00FE3FE5">
      <w:pPr>
        <w:pStyle w:val="FootnoteText"/>
      </w:pPr>
      <w:r>
        <w:rPr>
          <w:rStyle w:val="FootnoteReference"/>
        </w:rPr>
        <w:footnoteRef/>
      </w:r>
      <w:r>
        <w:t xml:space="preserve"> </w:t>
      </w:r>
      <w:r>
        <w:tab/>
      </w:r>
      <w:r w:rsidRPr="00465768">
        <w:t>Philenews</w:t>
      </w:r>
      <w:r>
        <w:t xml:space="preserve"> (</w:t>
      </w:r>
      <w:r w:rsidRPr="00465768">
        <w:t>2025</w:t>
      </w:r>
      <w:r>
        <w:t>).</w:t>
      </w:r>
    </w:p>
  </w:footnote>
  <w:footnote w:id="86">
    <w:p w14:paraId="27F7B549" w14:textId="09E190B3" w:rsidR="0040534C" w:rsidRDefault="0040534C" w:rsidP="00FE3FE5">
      <w:pPr>
        <w:pStyle w:val="FootnoteText"/>
      </w:pPr>
      <w:r>
        <w:rPr>
          <w:rStyle w:val="FootnoteReference"/>
        </w:rPr>
        <w:footnoteRef/>
      </w:r>
      <w:r>
        <w:t xml:space="preserve"> </w:t>
      </w:r>
      <w:r>
        <w:tab/>
      </w:r>
      <w:r w:rsidRPr="00396960">
        <w:t>Cypriot Government (2026</w:t>
      </w:r>
      <w:r>
        <w:t>a</w:t>
      </w:r>
      <w:r w:rsidRPr="00396960">
        <w:t>), p</w:t>
      </w:r>
      <w:r w:rsidR="000E6853">
        <w:t>.</w:t>
      </w:r>
      <w:r w:rsidRPr="00396960">
        <w:t xml:space="preserve"> </w:t>
      </w:r>
      <w:r>
        <w:t>4</w:t>
      </w:r>
      <w:r w:rsidRPr="00396960">
        <w:t xml:space="preserve">. </w:t>
      </w:r>
    </w:p>
  </w:footnote>
  <w:footnote w:id="87">
    <w:p w14:paraId="64F26A50" w14:textId="20489DD0" w:rsidR="0040534C" w:rsidRPr="00396960" w:rsidRDefault="0040534C" w:rsidP="00FE3FE5">
      <w:pPr>
        <w:pStyle w:val="FootnoteText"/>
      </w:pPr>
      <w:r w:rsidRPr="00396960">
        <w:rPr>
          <w:rStyle w:val="FootnoteReference"/>
        </w:rPr>
        <w:footnoteRef/>
      </w:r>
      <w:r w:rsidRPr="00396960">
        <w:t xml:space="preserve"> </w:t>
      </w:r>
      <w:r>
        <w:tab/>
      </w:r>
      <w:r w:rsidRPr="00396960">
        <w:t>The Financial Crime Sub-Directorate of the Cyprus Police currently comprises 32 members (27 specialised investigators and 5 forensic accountants), of whom 4 are seconded until June 2026. Cypriot Government (2026), written input, p</w:t>
      </w:r>
      <w:r w:rsidR="001D2E20">
        <w:t>.</w:t>
      </w:r>
      <w:r w:rsidRPr="00396960">
        <w:t xml:space="preserve"> 23</w:t>
      </w:r>
      <w:r w:rsidR="006730CF">
        <w:t xml:space="preserve"> and</w:t>
      </w:r>
      <w:r w:rsidRPr="00396960">
        <w:t xml:space="preserve"> </w:t>
      </w:r>
      <w:r w:rsidR="006730CF" w:rsidRPr="00396960">
        <w:t>Cypriot Government (2026</w:t>
      </w:r>
      <w:r w:rsidR="006730CF">
        <w:t>c</w:t>
      </w:r>
      <w:r w:rsidR="006730CF" w:rsidRPr="00396960">
        <w:t>)</w:t>
      </w:r>
      <w:r w:rsidR="006730CF">
        <w:t>.</w:t>
      </w:r>
    </w:p>
  </w:footnote>
  <w:footnote w:id="88">
    <w:p w14:paraId="42E57320"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Oxygen for Democracy (2026), </w:t>
      </w:r>
      <w:r w:rsidRPr="003C377C">
        <w:t xml:space="preserve">written input pp. 7 and </w:t>
      </w:r>
      <w:r w:rsidRPr="00396960">
        <w:t xml:space="preserve">31-32. </w:t>
      </w:r>
    </w:p>
  </w:footnote>
  <w:footnote w:id="89">
    <w:p w14:paraId="777E7A53" w14:textId="77777777" w:rsidR="0040534C" w:rsidRPr="00396960" w:rsidRDefault="0040534C" w:rsidP="00FE3FE5">
      <w:pPr>
        <w:pStyle w:val="FootnoteText"/>
      </w:pPr>
      <w:r w:rsidRPr="00396960">
        <w:rPr>
          <w:rStyle w:val="FootnoteReference"/>
        </w:rPr>
        <w:footnoteRef/>
      </w:r>
      <w:r w:rsidRPr="00396960">
        <w:t xml:space="preserve"> </w:t>
      </w:r>
      <w:r>
        <w:tab/>
      </w:r>
      <w:r w:rsidRPr="00396960">
        <w:t>Country visit Cyprus, Association</w:t>
      </w:r>
      <w:r>
        <w:t xml:space="preserve"> of judges</w:t>
      </w:r>
      <w:r w:rsidRPr="00396960">
        <w:t>.</w:t>
      </w:r>
    </w:p>
  </w:footnote>
  <w:footnote w:id="90">
    <w:p w14:paraId="4A27AAFA" w14:textId="77777777" w:rsidR="0040534C" w:rsidRDefault="0040534C" w:rsidP="00FE3FE5">
      <w:pPr>
        <w:pStyle w:val="FootnoteText"/>
      </w:pPr>
      <w:r>
        <w:rPr>
          <w:rStyle w:val="FootnoteReference"/>
        </w:rPr>
        <w:footnoteRef/>
      </w:r>
      <w:r>
        <w:t xml:space="preserve"> </w:t>
      </w:r>
      <w:r>
        <w:tab/>
      </w:r>
      <w:r w:rsidRPr="00EA6A96">
        <w:t>Law of 2024 (N. 112(I)/2024).</w:t>
      </w:r>
      <w:r w:rsidRPr="00EA6A96">
        <w:rPr>
          <w:rFonts w:eastAsia="Calibri"/>
          <w:szCs w:val="24"/>
        </w:rPr>
        <w:t xml:space="preserve"> </w:t>
      </w:r>
      <w:r w:rsidRPr="00EA6A96">
        <w:t>See 2025 Rule of Law Report, Cyprus, p. 11.</w:t>
      </w:r>
    </w:p>
  </w:footnote>
  <w:footnote w:id="91">
    <w:p w14:paraId="6ED71727" w14:textId="12E159CF" w:rsidR="0040534C" w:rsidRPr="009362EC" w:rsidRDefault="0040534C" w:rsidP="00FE3FE5">
      <w:pPr>
        <w:pStyle w:val="FootnoteText"/>
      </w:pPr>
      <w:r w:rsidRPr="009362EC">
        <w:rPr>
          <w:rStyle w:val="FootnoteReference"/>
        </w:rPr>
        <w:footnoteRef/>
      </w:r>
      <w:r w:rsidRPr="009362EC">
        <w:t xml:space="preserve"> </w:t>
      </w:r>
      <w:r>
        <w:tab/>
      </w:r>
      <w:r w:rsidRPr="009362EC">
        <w:t>Cypriot Government (2026), written input, p.</w:t>
      </w:r>
      <w:r w:rsidR="001D2E20">
        <w:t xml:space="preserve"> </w:t>
      </w:r>
      <w:r w:rsidRPr="009362EC">
        <w:t>24.</w:t>
      </w:r>
    </w:p>
  </w:footnote>
  <w:footnote w:id="92">
    <w:p w14:paraId="4CA0274E" w14:textId="77777777" w:rsidR="0040534C" w:rsidRDefault="0040534C" w:rsidP="00FE3FE5">
      <w:pPr>
        <w:pStyle w:val="FootnoteText"/>
      </w:pPr>
      <w:r>
        <w:rPr>
          <w:rStyle w:val="FootnoteReference"/>
        </w:rPr>
        <w:footnoteRef/>
      </w:r>
      <w:r>
        <w:t xml:space="preserve"> </w:t>
      </w:r>
      <w:r>
        <w:tab/>
      </w:r>
      <w:r w:rsidRPr="002D7A3B">
        <w:t>Law</w:t>
      </w:r>
      <w:r>
        <w:t xml:space="preserve"> </w:t>
      </w:r>
      <w:r w:rsidRPr="002D7A3B">
        <w:t xml:space="preserve">137(I) of 2024 covers certain officials and certain politically exposed persons, including the Attorney General, Auditor General, Chief of Police and their Deputies. </w:t>
      </w:r>
      <w:r w:rsidRPr="00EA6A96">
        <w:t>2025 Rule of Law Report, Cyprus, p. 11.</w:t>
      </w:r>
    </w:p>
  </w:footnote>
  <w:footnote w:id="93">
    <w:p w14:paraId="3710CA28" w14:textId="77777777" w:rsidR="0040534C" w:rsidRDefault="0040534C" w:rsidP="00FE3FE5">
      <w:pPr>
        <w:pStyle w:val="FootnoteText"/>
      </w:pPr>
      <w:r>
        <w:rPr>
          <w:rStyle w:val="FootnoteReference"/>
        </w:rPr>
        <w:footnoteRef/>
      </w:r>
      <w:r>
        <w:t xml:space="preserve"> </w:t>
      </w:r>
      <w:r>
        <w:tab/>
      </w:r>
      <w:r w:rsidRPr="009362EC">
        <w:t>Cypriot Government (</w:t>
      </w:r>
      <w:r w:rsidRPr="005F16C6">
        <w:t>2026b</w:t>
      </w:r>
      <w:r w:rsidRPr="009362EC">
        <w:t>), written input, p</w:t>
      </w:r>
      <w:r>
        <w:t>p.1-2</w:t>
      </w:r>
      <w:r w:rsidRPr="009362EC">
        <w:t>.</w:t>
      </w:r>
      <w:r>
        <w:t xml:space="preserve"> S</w:t>
      </w:r>
      <w:r w:rsidRPr="00A40570">
        <w:t>ince the entry into force of the new Law, no sanctions have been imposed.</w:t>
      </w:r>
    </w:p>
  </w:footnote>
  <w:footnote w:id="94">
    <w:p w14:paraId="1A282CD0" w14:textId="7117BAA0" w:rsidR="0040534C" w:rsidRDefault="0040534C" w:rsidP="00FE3FE5">
      <w:pPr>
        <w:pStyle w:val="FootnoteText"/>
      </w:pPr>
      <w:r>
        <w:rPr>
          <w:rStyle w:val="FootnoteReference"/>
        </w:rPr>
        <w:footnoteRef/>
      </w:r>
      <w:r>
        <w:t xml:space="preserve"> </w:t>
      </w:r>
      <w:r>
        <w:tab/>
      </w:r>
      <w:r w:rsidRPr="00342CD4">
        <w:t>GRECO (2025),</w:t>
      </w:r>
      <w:r>
        <w:t xml:space="preserve"> paras 56-66 and 67-75. </w:t>
      </w:r>
      <w:r w:rsidR="004C6067" w:rsidRPr="004C6067">
        <w:t>The Minister of Justice and Public Order requested the assistance of the Law Commissioner in preparing a bill to address these shortcomings.</w:t>
      </w:r>
      <w:r w:rsidR="004C6067">
        <w:t xml:space="preserve"> Cypriot Government (2026c).</w:t>
      </w:r>
    </w:p>
  </w:footnote>
  <w:footnote w:id="95">
    <w:p w14:paraId="73AF8CB5" w14:textId="641F29AA" w:rsidR="00353529" w:rsidRDefault="00353529">
      <w:pPr>
        <w:pStyle w:val="FootnoteText"/>
      </w:pPr>
      <w:r>
        <w:rPr>
          <w:rStyle w:val="FootnoteReference"/>
        </w:rPr>
        <w:footnoteRef/>
      </w:r>
      <w:r>
        <w:t xml:space="preserve"> </w:t>
      </w:r>
      <w:r w:rsidR="00A96EDA">
        <w:tab/>
      </w:r>
      <w:r w:rsidR="00A96EDA" w:rsidRPr="009362EC">
        <w:t>Cypriot Government (</w:t>
      </w:r>
      <w:r w:rsidR="00A96EDA" w:rsidRPr="005F16C6">
        <w:t>2026</w:t>
      </w:r>
      <w:r w:rsidR="00130FD1">
        <w:t>c</w:t>
      </w:r>
      <w:r w:rsidR="00A96EDA" w:rsidRPr="009362EC">
        <w:t>), written input</w:t>
      </w:r>
      <w:r w:rsidR="00A96EDA">
        <w:t>.</w:t>
      </w:r>
    </w:p>
  </w:footnote>
  <w:footnote w:id="96">
    <w:p w14:paraId="124BD798" w14:textId="70F2801B" w:rsidR="0040534C" w:rsidRPr="00E30EF8" w:rsidRDefault="0040534C" w:rsidP="00FE3FE5">
      <w:pPr>
        <w:pStyle w:val="FootnoteText"/>
      </w:pPr>
      <w:r>
        <w:rPr>
          <w:rStyle w:val="FootnoteReference"/>
        </w:rPr>
        <w:footnoteRef/>
      </w:r>
      <w:r>
        <w:t xml:space="preserve"> </w:t>
      </w:r>
      <w:r>
        <w:tab/>
      </w:r>
      <w:r w:rsidRPr="00F35AE6">
        <w:t>Cypriot Government (2026</w:t>
      </w:r>
      <w:r>
        <w:t>a</w:t>
      </w:r>
      <w:r w:rsidRPr="00F35AE6">
        <w:t>), written input, p</w:t>
      </w:r>
      <w:r w:rsidRPr="00E30EF8">
        <w:t>.1. GRECO (2025), paras 52-55</w:t>
      </w:r>
      <w:r w:rsidR="00DE153D" w:rsidRPr="00DE153D">
        <w:t xml:space="preserve"> </w:t>
      </w:r>
      <w:r w:rsidR="00DE153D">
        <w:t xml:space="preserve">and </w:t>
      </w:r>
      <w:r w:rsidR="00DE153D" w:rsidRPr="00396960">
        <w:t>Cypriot Government (2026</w:t>
      </w:r>
      <w:r w:rsidR="00DE153D">
        <w:t>c</w:t>
      </w:r>
      <w:r w:rsidR="00DE153D" w:rsidRPr="00396960">
        <w:t>)</w:t>
      </w:r>
      <w:r w:rsidRPr="00E30EF8">
        <w:t>.</w:t>
      </w:r>
    </w:p>
  </w:footnote>
  <w:footnote w:id="97">
    <w:p w14:paraId="580D3332" w14:textId="7B6EEA99" w:rsidR="0067324C" w:rsidRDefault="0067324C" w:rsidP="0067324C">
      <w:pPr>
        <w:pStyle w:val="FootnoteText"/>
      </w:pPr>
      <w:r>
        <w:rPr>
          <w:rStyle w:val="FootnoteReference"/>
        </w:rPr>
        <w:footnoteRef/>
      </w:r>
      <w:r>
        <w:t xml:space="preserve"> </w:t>
      </w:r>
      <w:r>
        <w:tab/>
        <w:t xml:space="preserve">Law </w:t>
      </w:r>
      <w:r w:rsidRPr="00F757D2">
        <w:t>108(I) of 2026</w:t>
      </w:r>
      <w:r>
        <w:t>.</w:t>
      </w:r>
      <w:r w:rsidRPr="00F757D2">
        <w:t xml:space="preserve"> The law came into force </w:t>
      </w:r>
      <w:r w:rsidR="00402CA3">
        <w:t>in</w:t>
      </w:r>
      <w:r w:rsidRPr="00F757D2">
        <w:t xml:space="preserve"> April 2026.</w:t>
      </w:r>
    </w:p>
  </w:footnote>
  <w:footnote w:id="98">
    <w:p w14:paraId="029AA642" w14:textId="77777777" w:rsidR="0040534C" w:rsidRPr="00396960" w:rsidRDefault="0040534C" w:rsidP="00FE3FE5">
      <w:pPr>
        <w:pStyle w:val="FootnoteText"/>
      </w:pPr>
      <w:r w:rsidRPr="00396960">
        <w:rPr>
          <w:rStyle w:val="FootnoteReference"/>
        </w:rPr>
        <w:footnoteRef/>
      </w:r>
      <w:r w:rsidRPr="00396960">
        <w:t xml:space="preserve"> </w:t>
      </w:r>
      <w:r>
        <w:tab/>
      </w:r>
      <w:r w:rsidRPr="00074DB6">
        <w:rPr>
          <w:rFonts w:eastAsia="Calibri"/>
        </w:rPr>
        <w:t>The IAAC is responsible for implementing and enforcing the lobbying law and maintaining the publicly available lobbying register</w:t>
      </w:r>
      <w:r w:rsidRPr="00074DB6">
        <w:t>. Lobbyists include both individuals and entities such as trade unions, NGOs and political party organisations</w:t>
      </w:r>
      <w:r>
        <w:t xml:space="preserve">. </w:t>
      </w:r>
      <w:r w:rsidRPr="00074DB6">
        <w:t>2025 Rule of Law Report, Cyprus, p. 12.</w:t>
      </w:r>
      <w:r>
        <w:t xml:space="preserve"> </w:t>
      </w:r>
      <w:r w:rsidRPr="00396960">
        <w:t xml:space="preserve">Cypriot Government </w:t>
      </w:r>
      <w:r>
        <w:t xml:space="preserve">and IAAC </w:t>
      </w:r>
      <w:r w:rsidRPr="00396960">
        <w:t>(2026), written input</w:t>
      </w:r>
      <w:r>
        <w:t>s</w:t>
      </w:r>
      <w:r w:rsidRPr="00396960">
        <w:t>, pp.19-20 and 6-</w:t>
      </w:r>
      <w:r>
        <w:t>8</w:t>
      </w:r>
      <w:r w:rsidRPr="00396960">
        <w:t xml:space="preserve">. </w:t>
      </w:r>
    </w:p>
  </w:footnote>
  <w:footnote w:id="99">
    <w:p w14:paraId="01E8E2C2" w14:textId="7A948CB5" w:rsidR="0040534C" w:rsidRPr="00396960" w:rsidRDefault="0040534C" w:rsidP="00FE3FE5">
      <w:pPr>
        <w:pStyle w:val="FootnoteText"/>
      </w:pPr>
      <w:r w:rsidRPr="00396960">
        <w:rPr>
          <w:rStyle w:val="FootnoteReference"/>
        </w:rPr>
        <w:footnoteRef/>
      </w:r>
      <w:r w:rsidRPr="00396960">
        <w:t xml:space="preserve"> </w:t>
      </w:r>
      <w:r w:rsidRPr="00396960">
        <w:tab/>
        <w:t>While officials are required to submit a co-signed report to the IAAC after every contact with lobbyists within two months, lobbyists are required to submit a report biannually consolidating and detailing their contacts with officials, Art</w:t>
      </w:r>
      <w:r w:rsidR="001C5094">
        <w:t>.</w:t>
      </w:r>
      <w:r w:rsidRPr="00396960">
        <w:t xml:space="preserve"> 13, 17, 22, and 24 of Law 20(I)/2022 and Circular No. 005 of 28 February 2025.</w:t>
      </w:r>
    </w:p>
  </w:footnote>
  <w:footnote w:id="100">
    <w:p w14:paraId="5E4FE978" w14:textId="1F30458D" w:rsidR="0040534C" w:rsidRPr="00396960" w:rsidRDefault="0040534C" w:rsidP="00FE3FE5">
      <w:pPr>
        <w:pStyle w:val="FootnoteText"/>
      </w:pPr>
      <w:r w:rsidRPr="00396960">
        <w:rPr>
          <w:rStyle w:val="FootnoteReference"/>
        </w:rPr>
        <w:footnoteRef/>
      </w:r>
      <w:r w:rsidRPr="00396960">
        <w:t xml:space="preserve"> </w:t>
      </w:r>
      <w:r w:rsidRPr="00396960">
        <w:tab/>
        <w:t>The third audit concerned the period March 2025-Sept 2025</w:t>
      </w:r>
      <w:r>
        <w:t>,</w:t>
      </w:r>
      <w:r>
        <w:rPr>
          <w:rStyle w:val="FootnoteReference"/>
        </w:rPr>
        <w:t xml:space="preserve"> </w:t>
      </w:r>
      <w:r w:rsidRPr="00396960">
        <w:t>IAAC (2026)</w:t>
      </w:r>
      <w:r>
        <w:t xml:space="preserve"> and (2026a</w:t>
      </w:r>
      <w:r w:rsidRPr="00396960">
        <w:t>), p</w:t>
      </w:r>
      <w:r>
        <w:t>p.</w:t>
      </w:r>
      <w:r w:rsidR="001C5094">
        <w:t xml:space="preserve"> </w:t>
      </w:r>
      <w:r w:rsidRPr="00396960">
        <w:t>7 and 1.</w:t>
      </w:r>
    </w:p>
  </w:footnote>
  <w:footnote w:id="101">
    <w:p w14:paraId="3ABC8BE3" w14:textId="076DA60F" w:rsidR="0040534C" w:rsidRPr="00396960" w:rsidRDefault="0040534C" w:rsidP="00FE3FE5">
      <w:pPr>
        <w:pStyle w:val="FootnoteText"/>
      </w:pPr>
      <w:r w:rsidRPr="00396960">
        <w:rPr>
          <w:rStyle w:val="FootnoteReference"/>
        </w:rPr>
        <w:footnoteRef/>
      </w:r>
      <w:r w:rsidRPr="00396960">
        <w:tab/>
      </w:r>
      <w:r w:rsidRPr="00396960">
        <w:rPr>
          <w:rFonts w:eastAsia="Calibri"/>
        </w:rPr>
        <w:t xml:space="preserve">Sanctions can be imposed on both lobbyists and public officials for failure to comply with their obligations. </w:t>
      </w:r>
      <w:r w:rsidRPr="00396960">
        <w:t>Such sanctions can include a maximum imprisonment of six months and a maximum financial penalty of EUR 5 000. Art</w:t>
      </w:r>
      <w:r w:rsidR="001C5094">
        <w:t>.</w:t>
      </w:r>
      <w:r w:rsidRPr="00396960">
        <w:t xml:space="preserve"> 22 and 24 of Law 20(I)/2022 and Circular No. 005 of 28 February 2025.</w:t>
      </w:r>
    </w:p>
  </w:footnote>
  <w:footnote w:id="102">
    <w:p w14:paraId="6E4F59DB" w14:textId="77777777" w:rsidR="0040534C" w:rsidRPr="00396960" w:rsidRDefault="0040534C" w:rsidP="00FE3FE5">
      <w:pPr>
        <w:pStyle w:val="FootnoteText"/>
      </w:pPr>
      <w:r w:rsidRPr="00396960">
        <w:rPr>
          <w:rStyle w:val="FootnoteReference"/>
        </w:rPr>
        <w:footnoteRef/>
      </w:r>
      <w:r w:rsidRPr="00396960">
        <w:t xml:space="preserve"> </w:t>
      </w:r>
      <w:r>
        <w:tab/>
      </w:r>
      <w:r w:rsidRPr="00396960">
        <w:t>LPAP (2026), written input, p. 1 and country visit, Cyprus, Chamber of Commerce and OEB.</w:t>
      </w:r>
    </w:p>
  </w:footnote>
  <w:footnote w:id="103">
    <w:p w14:paraId="753710F4" w14:textId="670CBC7E" w:rsidR="0040534C" w:rsidRPr="00396960" w:rsidRDefault="0040534C" w:rsidP="00FE3FE5">
      <w:pPr>
        <w:pStyle w:val="FootnoteText"/>
      </w:pPr>
      <w:r w:rsidRPr="00396960">
        <w:rPr>
          <w:rStyle w:val="FootnoteReference"/>
        </w:rPr>
        <w:footnoteRef/>
      </w:r>
      <w:r w:rsidRPr="00396960">
        <w:t xml:space="preserve"> </w:t>
      </w:r>
      <w:r>
        <w:tab/>
      </w:r>
      <w:r w:rsidRPr="00396960">
        <w:t>LPAP and Foundation Fimonoi (2026), written inputs, pp. 1-2 and p</w:t>
      </w:r>
      <w:r w:rsidR="00C62DFE">
        <w:t>.</w:t>
      </w:r>
      <w:r w:rsidRPr="00396960">
        <w:t xml:space="preserve"> 2, respectively.</w:t>
      </w:r>
      <w:r w:rsidRPr="00396960">
        <w:rPr>
          <w:rFonts w:eastAsia="Calibri"/>
        </w:rPr>
        <w:t xml:space="preserve"> </w:t>
      </w:r>
    </w:p>
  </w:footnote>
  <w:footnote w:id="104">
    <w:p w14:paraId="5C925E25" w14:textId="77777777" w:rsidR="0040534C" w:rsidRPr="00B80AEC" w:rsidRDefault="0040534C" w:rsidP="00FE3FE5">
      <w:pPr>
        <w:pStyle w:val="FootnoteText"/>
      </w:pPr>
      <w:r w:rsidRPr="00396960">
        <w:rPr>
          <w:rStyle w:val="FootnoteReference"/>
        </w:rPr>
        <w:footnoteRef/>
      </w:r>
      <w:r w:rsidRPr="00396960">
        <w:t xml:space="preserve"> </w:t>
      </w:r>
      <w:r>
        <w:tab/>
      </w:r>
      <w:r w:rsidRPr="00B80AEC">
        <w:t xml:space="preserve">Cypriot Government </w:t>
      </w:r>
      <w:r>
        <w:t xml:space="preserve">and IAAC </w:t>
      </w:r>
      <w:r w:rsidRPr="00B80AEC">
        <w:t>(2026) written input</w:t>
      </w:r>
      <w:r>
        <w:t>s</w:t>
      </w:r>
      <w:r w:rsidRPr="00B80AEC">
        <w:t xml:space="preserve"> pp.7, and </w:t>
      </w:r>
      <w:r w:rsidRPr="0021151A">
        <w:t>3-4</w:t>
      </w:r>
      <w:r>
        <w:t xml:space="preserve"> respectively</w:t>
      </w:r>
      <w:r w:rsidRPr="0021151A">
        <w:t>.</w:t>
      </w:r>
    </w:p>
  </w:footnote>
  <w:footnote w:id="105">
    <w:p w14:paraId="763294DE" w14:textId="77777777" w:rsidR="0040534C" w:rsidRPr="00B80AEC" w:rsidDel="000473A9" w:rsidRDefault="0040534C" w:rsidP="00FE3FE5">
      <w:pPr>
        <w:pStyle w:val="FootnoteText"/>
      </w:pPr>
      <w:r w:rsidRPr="00B80AEC" w:rsidDel="000473A9">
        <w:rPr>
          <w:rStyle w:val="FootnoteReference"/>
        </w:rPr>
        <w:footnoteRef/>
      </w:r>
      <w:r w:rsidRPr="00B80AEC" w:rsidDel="000473A9">
        <w:t xml:space="preserve"> </w:t>
      </w:r>
      <w:r>
        <w:tab/>
      </w:r>
      <w:r w:rsidRPr="00B80AEC" w:rsidDel="000473A9">
        <w:t xml:space="preserve">Law </w:t>
      </w:r>
      <w:r>
        <w:t>N.</w:t>
      </w:r>
      <w:r w:rsidRPr="00B80AEC" w:rsidDel="000473A9">
        <w:t>42(</w:t>
      </w:r>
      <w:r>
        <w:t>I)</w:t>
      </w:r>
      <w:r w:rsidRPr="00B80AEC" w:rsidDel="000473A9">
        <w:t>2026.</w:t>
      </w:r>
    </w:p>
  </w:footnote>
  <w:footnote w:id="106">
    <w:p w14:paraId="0D860A47" w14:textId="77777777" w:rsidR="0040534C" w:rsidRPr="00396960" w:rsidRDefault="0040534C" w:rsidP="00FE3FE5">
      <w:pPr>
        <w:pStyle w:val="FootnoteText"/>
      </w:pPr>
      <w:r w:rsidRPr="00B80AEC">
        <w:rPr>
          <w:rStyle w:val="FootnoteReference"/>
        </w:rPr>
        <w:footnoteRef/>
      </w:r>
      <w:r w:rsidRPr="00B80AEC">
        <w:t xml:space="preserve"> </w:t>
      </w:r>
      <w:r w:rsidRPr="00B80AEC">
        <w:tab/>
        <w:t xml:space="preserve">Cypriot Government (2026), written </w:t>
      </w:r>
      <w:r w:rsidRPr="005D6146">
        <w:t xml:space="preserve">input </w:t>
      </w:r>
      <w:r w:rsidRPr="00B80AEC">
        <w:t xml:space="preserve">and </w:t>
      </w:r>
      <w:r w:rsidRPr="005D6146">
        <w:t>(2026a) written</w:t>
      </w:r>
      <w:r w:rsidRPr="00B80AEC">
        <w:t xml:space="preserve"> input, pp.</w:t>
      </w:r>
      <w:r w:rsidRPr="005D6146">
        <w:t>2</w:t>
      </w:r>
      <w:r>
        <w:t>1</w:t>
      </w:r>
      <w:r w:rsidRPr="00B80AEC">
        <w:t>, and pp.8-9; IAAC (2026), written input, p.11. This initiative responds to GRECO recommendations in the 5th Evaluation round. The IAAC has prepared the tender specifications.</w:t>
      </w:r>
    </w:p>
  </w:footnote>
  <w:footnote w:id="107">
    <w:p w14:paraId="6A45028F" w14:textId="77777777" w:rsidR="0040534C" w:rsidRPr="00396960" w:rsidRDefault="0040534C" w:rsidP="00FE3FE5">
      <w:pPr>
        <w:pStyle w:val="FootnoteText"/>
      </w:pPr>
      <w:r w:rsidRPr="00396960">
        <w:rPr>
          <w:rStyle w:val="FootnoteReference"/>
        </w:rPr>
        <w:footnoteRef/>
      </w:r>
      <w:r w:rsidRPr="00396960">
        <w:t xml:space="preserve"> </w:t>
      </w:r>
      <w:r w:rsidRPr="00396960" w:rsidDel="00DA00B7">
        <w:tab/>
      </w:r>
      <w:r w:rsidRPr="00396960">
        <w:t xml:space="preserve">IAAC (2026), written input, p.11 and country visit Cyprus, IAAC. </w:t>
      </w:r>
      <w:r w:rsidRPr="0097111C">
        <w:rPr>
          <w:rFonts w:eastAsia="Calibri"/>
          <w:color w:val="000000"/>
          <w:szCs w:val="24"/>
          <w:lang w:bidi="en-US"/>
          <w14:ligatures w14:val="standardContextual"/>
        </w:rPr>
        <w:t xml:space="preserve">It </w:t>
      </w:r>
      <w:r>
        <w:rPr>
          <w:rFonts w:eastAsia="Calibri"/>
          <w:color w:val="000000"/>
          <w:szCs w:val="24"/>
          <w:lang w:bidi="en-US"/>
          <w14:ligatures w14:val="standardContextual"/>
        </w:rPr>
        <w:t>will</w:t>
      </w:r>
      <w:r w:rsidRPr="0097111C">
        <w:rPr>
          <w:rFonts w:eastAsia="Calibri"/>
          <w:color w:val="000000"/>
          <w:szCs w:val="24"/>
          <w:lang w:bidi="en-US"/>
          <w14:ligatures w14:val="standardContextual"/>
        </w:rPr>
        <w:t xml:space="preserve"> also define audit measures and a compliance methodology</w:t>
      </w:r>
      <w:r>
        <w:rPr>
          <w:rFonts w:eastAsia="Calibri"/>
          <w:color w:val="000000"/>
          <w:szCs w:val="24"/>
          <w:lang w:bidi="en-US"/>
          <w14:ligatures w14:val="standardContextual"/>
        </w:rPr>
        <w:t>.</w:t>
      </w:r>
      <w:r>
        <w:t xml:space="preserve"> For the study, t</w:t>
      </w:r>
      <w:r w:rsidRPr="00396960">
        <w:t>he following persons are considered as PTEFs and CPTAs “The President, Ministers and State Secretaries, Secretary of the Council of Ministers, Commissioners, Government and Assistant Representatives, Director of the President’s Office, Director of the President’s Press Office, Advisors to the President and CPTAs hired at the discretion of the central government to provide advice”.</w:t>
      </w:r>
      <w:r w:rsidRPr="00695552">
        <w:t xml:space="preserve"> Action 6 of the IAAC Anti-Corruption Plan</w:t>
      </w:r>
      <w:r>
        <w:t>.</w:t>
      </w:r>
    </w:p>
  </w:footnote>
  <w:footnote w:id="108">
    <w:p w14:paraId="74800DB3" w14:textId="589E0925" w:rsidR="0040534C" w:rsidRPr="00396960" w:rsidRDefault="0040534C" w:rsidP="00FE3FE5">
      <w:pPr>
        <w:pStyle w:val="FootnoteText"/>
      </w:pPr>
      <w:r w:rsidRPr="00396960">
        <w:rPr>
          <w:rStyle w:val="FootnoteReference"/>
        </w:rPr>
        <w:footnoteRef/>
      </w:r>
      <w:r w:rsidRPr="00396960">
        <w:t xml:space="preserve"> </w:t>
      </w:r>
      <w:r w:rsidRPr="00396960">
        <w:tab/>
      </w:r>
      <w:r>
        <w:t xml:space="preserve">See </w:t>
      </w:r>
      <w:r w:rsidRPr="0026435F">
        <w:t>2025, Rule of Law Report, Cyprus, p.</w:t>
      </w:r>
      <w:r w:rsidR="00C62DFE">
        <w:t xml:space="preserve"> </w:t>
      </w:r>
      <w:r w:rsidRPr="0026435F">
        <w:t>12.</w:t>
      </w:r>
    </w:p>
  </w:footnote>
  <w:footnote w:id="109">
    <w:p w14:paraId="72D7A3A2" w14:textId="6A902C0B" w:rsidR="00A67360" w:rsidRDefault="00A67360">
      <w:pPr>
        <w:pStyle w:val="FootnoteText"/>
      </w:pPr>
      <w:r>
        <w:rPr>
          <w:rStyle w:val="FootnoteReference"/>
        </w:rPr>
        <w:footnoteRef/>
      </w:r>
      <w:r>
        <w:t xml:space="preserve">   Cypriot Government (2026c).</w:t>
      </w:r>
    </w:p>
  </w:footnote>
  <w:footnote w:id="110">
    <w:p w14:paraId="6F9A7F7D" w14:textId="64C0507A" w:rsidR="0040534C" w:rsidRDefault="0040534C" w:rsidP="00FE3FE5">
      <w:pPr>
        <w:pStyle w:val="FootnoteText"/>
      </w:pPr>
      <w:r>
        <w:rPr>
          <w:rStyle w:val="FootnoteReference"/>
        </w:rPr>
        <w:footnoteRef/>
      </w:r>
      <w:r>
        <w:t xml:space="preserve"> </w:t>
      </w:r>
      <w:r>
        <w:tab/>
      </w:r>
      <w:r w:rsidRPr="003833D7">
        <w:t>Cypriot Government (</w:t>
      </w:r>
      <w:r w:rsidRPr="005D6146">
        <w:t>2026a</w:t>
      </w:r>
      <w:r w:rsidRPr="003833D7">
        <w:t>),</w:t>
      </w:r>
      <w:r>
        <w:t xml:space="preserve"> </w:t>
      </w:r>
      <w:r w:rsidRPr="005D6146">
        <w:t xml:space="preserve">written </w:t>
      </w:r>
      <w:r w:rsidRPr="003833D7">
        <w:t>input, p.</w:t>
      </w:r>
      <w:r w:rsidR="00C62DFE">
        <w:t xml:space="preserve"> </w:t>
      </w:r>
      <w:r w:rsidRPr="003833D7">
        <w:t>5.</w:t>
      </w:r>
    </w:p>
  </w:footnote>
  <w:footnote w:id="111">
    <w:p w14:paraId="1519DB2B" w14:textId="27880DB3" w:rsidR="0040534C" w:rsidRPr="00924AE8" w:rsidRDefault="0040534C" w:rsidP="00FE3FE5">
      <w:pPr>
        <w:pStyle w:val="FootnoteText"/>
      </w:pPr>
      <w:r w:rsidRPr="00924AE8">
        <w:rPr>
          <w:rStyle w:val="FootnoteReference"/>
        </w:rPr>
        <w:footnoteRef/>
      </w:r>
      <w:r w:rsidR="00C62DFE">
        <w:tab/>
      </w:r>
      <w:r w:rsidRPr="00924AE8">
        <w:t>Cypriot Government (2026), annex</w:t>
      </w:r>
      <w:r w:rsidRPr="005128D2">
        <w:t xml:space="preserve"> </w:t>
      </w:r>
      <w:r>
        <w:t xml:space="preserve">and </w:t>
      </w:r>
      <w:r w:rsidRPr="005D6146">
        <w:t>(2026a) written</w:t>
      </w:r>
      <w:r>
        <w:t xml:space="preserve"> </w:t>
      </w:r>
      <w:r w:rsidRPr="00924AE8">
        <w:t>input, p</w:t>
      </w:r>
      <w:r>
        <w:t>p</w:t>
      </w:r>
      <w:r w:rsidRPr="00924AE8">
        <w:t>.</w:t>
      </w:r>
      <w:r w:rsidR="00C62DFE">
        <w:t xml:space="preserve"> </w:t>
      </w:r>
      <w:r>
        <w:t xml:space="preserve">16 and </w:t>
      </w:r>
      <w:r w:rsidRPr="00924AE8">
        <w:t>2</w:t>
      </w:r>
      <w:r>
        <w:t xml:space="preserve"> respectively.</w:t>
      </w:r>
    </w:p>
  </w:footnote>
  <w:footnote w:id="112">
    <w:p w14:paraId="1BF9C4BC" w14:textId="77777777" w:rsidR="0040534C" w:rsidRDefault="0040534C" w:rsidP="00FE3FE5">
      <w:pPr>
        <w:pStyle w:val="FootnoteText"/>
      </w:pPr>
      <w:r w:rsidRPr="00924AE8">
        <w:rPr>
          <w:rStyle w:val="FootnoteReference"/>
        </w:rPr>
        <w:footnoteRef/>
      </w:r>
      <w:r w:rsidRPr="00924AE8">
        <w:t xml:space="preserve"> </w:t>
      </w:r>
      <w:r w:rsidRPr="00924AE8">
        <w:tab/>
        <w:t>Audit Office (2025), Consolidated Report of 17 October</w:t>
      </w:r>
      <w:r w:rsidRPr="00075990">
        <w:t xml:space="preserve"> 2025</w:t>
      </w:r>
      <w:r>
        <w:t xml:space="preserve"> </w:t>
      </w:r>
      <w:r w:rsidRPr="00075990">
        <w:t>of Compliance Audit Findings of Parliamentary Political parties for the years 2016 to 2021. The Financial Statements of the parties are audited on the basis of the Political Parties Law, by independent private auditors</w:t>
      </w:r>
      <w:r>
        <w:t>.</w:t>
      </w:r>
    </w:p>
  </w:footnote>
  <w:footnote w:id="113">
    <w:p w14:paraId="57FD180B" w14:textId="77777777" w:rsidR="0040534C" w:rsidRDefault="0040534C" w:rsidP="00FE3FE5">
      <w:pPr>
        <w:pStyle w:val="FootnoteText"/>
      </w:pPr>
      <w:r>
        <w:rPr>
          <w:rStyle w:val="FootnoteReference"/>
        </w:rPr>
        <w:footnoteRef/>
      </w:r>
      <w:r>
        <w:t xml:space="preserve"> </w:t>
      </w:r>
      <w:r>
        <w:tab/>
        <w:t>Audit office</w:t>
      </w:r>
      <w:r w:rsidRPr="00396960">
        <w:t xml:space="preserve"> (2026), written input</w:t>
      </w:r>
      <w:r>
        <w:t>.</w:t>
      </w:r>
      <w:r w:rsidRPr="0026220C">
        <w:t xml:space="preserve"> </w:t>
      </w:r>
      <w:r w:rsidRPr="0072460D">
        <w:t xml:space="preserve">A legislative proposal from 2022, seeking to amend the law on financing political parties by restricting certain contributions from both legal and natural persons, is still pending in </w:t>
      </w:r>
      <w:r>
        <w:t>Parliament</w:t>
      </w:r>
      <w:r w:rsidRPr="0072460D">
        <w:t>.</w:t>
      </w:r>
    </w:p>
  </w:footnote>
  <w:footnote w:id="114">
    <w:p w14:paraId="23903D3B" w14:textId="77777777" w:rsidR="0040534C" w:rsidRDefault="0040534C" w:rsidP="00FE3FE5">
      <w:pPr>
        <w:pStyle w:val="FootnoteText"/>
      </w:pPr>
      <w:r>
        <w:rPr>
          <w:rStyle w:val="FootnoteReference"/>
        </w:rPr>
        <w:footnoteRef/>
      </w:r>
      <w:r>
        <w:t xml:space="preserve"> </w:t>
      </w:r>
      <w:r>
        <w:tab/>
        <w:t>Cyprus Mail (2026).</w:t>
      </w:r>
    </w:p>
  </w:footnote>
  <w:footnote w:id="115">
    <w:p w14:paraId="6F89D51A" w14:textId="2B0E7783" w:rsidR="0040534C" w:rsidRPr="00396960" w:rsidRDefault="0040534C" w:rsidP="00FE3FE5">
      <w:pPr>
        <w:pStyle w:val="FootnoteText"/>
      </w:pPr>
      <w:r w:rsidRPr="00396960">
        <w:rPr>
          <w:rStyle w:val="FootnoteReference"/>
        </w:rPr>
        <w:footnoteRef/>
      </w:r>
      <w:r w:rsidRPr="00396960">
        <w:t xml:space="preserve"> </w:t>
      </w:r>
      <w:r w:rsidRPr="00396960" w:rsidDel="005A2254">
        <w:tab/>
      </w:r>
      <w:r w:rsidRPr="00396960">
        <w:t xml:space="preserve">Flash Eurobarometer </w:t>
      </w:r>
      <w:r w:rsidRPr="00EA256B">
        <w:t>582 on Businesses’ attitudes towards corruption in the EU (2026)</w:t>
      </w:r>
      <w:r w:rsidRPr="00396960">
        <w:t>. This is 1 percentage point</w:t>
      </w:r>
      <w:r>
        <w:t xml:space="preserve"> below </w:t>
      </w:r>
      <w:r w:rsidRPr="00396960">
        <w:t xml:space="preserve">the EU average. </w:t>
      </w:r>
    </w:p>
  </w:footnote>
  <w:footnote w:id="116">
    <w:p w14:paraId="15C12A07" w14:textId="77777777" w:rsidR="0040534C" w:rsidRPr="00396960" w:rsidRDefault="0040534C" w:rsidP="00FE3FE5">
      <w:pPr>
        <w:pStyle w:val="FootnoteText"/>
      </w:pPr>
      <w:r w:rsidRPr="00396960">
        <w:rPr>
          <w:rStyle w:val="FootnoteReference"/>
        </w:rPr>
        <w:footnoteRef/>
      </w:r>
      <w:r w:rsidRPr="00396960">
        <w:t xml:space="preserve"> </w:t>
      </w:r>
      <w:r w:rsidRPr="00396960" w:rsidDel="005A2254">
        <w:tab/>
      </w:r>
      <w:r w:rsidRPr="00396960">
        <w:t>The Tenders Review Authority</w:t>
      </w:r>
      <w:r w:rsidRPr="00396960">
        <w:rPr>
          <w:kern w:val="2"/>
          <w14:ligatures w14:val="standardContextual"/>
        </w:rPr>
        <w:t xml:space="preserve"> </w:t>
      </w:r>
      <w:r w:rsidRPr="00396960">
        <w:t xml:space="preserve">examines </w:t>
      </w:r>
      <w:r>
        <w:t>appeals</w:t>
      </w:r>
      <w:r w:rsidRPr="00396960">
        <w:t xml:space="preserve"> against acts or decisions by the contracting authorities (i.e., the State, local authorities, public law bodies or associations of such authorities or public organizations) that violate any provision of the law before or after signing a contract of supplies, services or projects. </w:t>
      </w:r>
      <w:r w:rsidRPr="00520B0E">
        <w:t>Figure 59,</w:t>
      </w:r>
      <w:r w:rsidRPr="00396960">
        <w:t xml:space="preserve"> 202</w:t>
      </w:r>
      <w:r>
        <w:t>6</w:t>
      </w:r>
      <w:r w:rsidRPr="00396960">
        <w:t xml:space="preserve"> EU Justice Scoreboard.</w:t>
      </w:r>
    </w:p>
  </w:footnote>
  <w:footnote w:id="117">
    <w:p w14:paraId="2E761175" w14:textId="6BF95CBD" w:rsidR="0040534C" w:rsidRPr="00396960" w:rsidRDefault="0040534C" w:rsidP="00FE3FE5">
      <w:pPr>
        <w:pStyle w:val="FootnoteText"/>
      </w:pPr>
      <w:r w:rsidRPr="00396960">
        <w:rPr>
          <w:rStyle w:val="FootnoteReference"/>
        </w:rPr>
        <w:footnoteRef/>
      </w:r>
      <w:r w:rsidRPr="00396960">
        <w:t xml:space="preserve"> </w:t>
      </w:r>
      <w:r w:rsidRPr="00396960" w:rsidDel="005A2254">
        <w:tab/>
      </w:r>
      <w:r w:rsidRPr="00AD64D3">
        <w:t xml:space="preserve">Country visit Cyprus, </w:t>
      </w:r>
      <w:r w:rsidRPr="00264FC0">
        <w:t>Police.</w:t>
      </w:r>
      <w:r w:rsidRPr="00396960">
        <w:t xml:space="preserve"> </w:t>
      </w:r>
      <w:r w:rsidRPr="00400D15">
        <w:t xml:space="preserve">Foundation Fimonoi and </w:t>
      </w:r>
      <w:r w:rsidRPr="004C18B3">
        <w:t>Oxygen for democracy (2026), written inputs, p</w:t>
      </w:r>
      <w:r w:rsidR="0083455B">
        <w:t>.</w:t>
      </w:r>
      <w:r w:rsidRPr="004C18B3">
        <w:t xml:space="preserve"> 4 and 28, respectively.</w:t>
      </w:r>
      <w:r>
        <w:t xml:space="preserve"> </w:t>
      </w:r>
    </w:p>
  </w:footnote>
  <w:footnote w:id="118">
    <w:p w14:paraId="028870DA" w14:textId="7DE390DA" w:rsidR="0040534C" w:rsidRPr="002E6411" w:rsidRDefault="0040534C" w:rsidP="00FE3FE5">
      <w:pPr>
        <w:pStyle w:val="FootnoteText"/>
      </w:pPr>
      <w:r w:rsidRPr="00396960">
        <w:rPr>
          <w:rStyle w:val="FootnoteReference"/>
        </w:rPr>
        <w:footnoteRef/>
      </w:r>
      <w:r w:rsidRPr="00396960">
        <w:t xml:space="preserve"> </w:t>
      </w:r>
      <w:r>
        <w:tab/>
      </w:r>
      <w:r w:rsidRPr="002E6411">
        <w:t>Cypriot Government (2026), annex, p.</w:t>
      </w:r>
      <w:r w:rsidR="00412C41">
        <w:t xml:space="preserve"> </w:t>
      </w:r>
      <w:r w:rsidRPr="002E6411">
        <w:t>18.</w:t>
      </w:r>
    </w:p>
  </w:footnote>
  <w:footnote w:id="119">
    <w:p w14:paraId="475E0947" w14:textId="77777777" w:rsidR="0040534C" w:rsidRPr="002E6411" w:rsidRDefault="0040534C" w:rsidP="00FE3FE5">
      <w:pPr>
        <w:pStyle w:val="FootnoteText"/>
      </w:pPr>
      <w:r w:rsidRPr="002E6411">
        <w:rPr>
          <w:rStyle w:val="FootnoteReference"/>
        </w:rPr>
        <w:footnoteRef/>
      </w:r>
      <w:r w:rsidRPr="002E6411">
        <w:t xml:space="preserve"> </w:t>
      </w:r>
      <w:r w:rsidRPr="002E6411">
        <w:tab/>
        <w:t>Among its enhanced functionalities, the system will provide stakeholders with comprehensive information covering the full lifecycle of public procurement procedures — from project initiation to contract completion and final acceptance.</w:t>
      </w:r>
    </w:p>
  </w:footnote>
  <w:footnote w:id="120">
    <w:p w14:paraId="7D96B777" w14:textId="77777777" w:rsidR="0040534C" w:rsidRPr="002E6411" w:rsidRDefault="0040534C" w:rsidP="00FE3FE5">
      <w:pPr>
        <w:pStyle w:val="FootnoteText"/>
      </w:pPr>
      <w:r w:rsidRPr="002E6411">
        <w:rPr>
          <w:rStyle w:val="FootnoteReference"/>
        </w:rPr>
        <w:footnoteRef/>
      </w:r>
      <w:r w:rsidRPr="002E6411">
        <w:t xml:space="preserve"> </w:t>
      </w:r>
      <w:bookmarkStart w:id="32" w:name="_Hlk221190349"/>
      <w:r w:rsidRPr="002E6411">
        <w:tab/>
        <w:t xml:space="preserve">IAAC Anti-Corruption Plan, Action 8. </w:t>
      </w:r>
      <w:bookmarkEnd w:id="32"/>
      <w:r w:rsidRPr="002E6411">
        <w:t>The National Code of Ethics for Public Procurement sets out the principles and values to be observed by officials and holders of public offices participating in public procurement procedures in the public or wider public sector. The relevant Code was published in November 2009 and is currently in force. The IAAC will verify whether it includes relevant principles</w:t>
      </w:r>
      <w:r w:rsidRPr="002E6411">
        <w:rPr>
          <w:rStyle w:val="FootnoteTextChar"/>
        </w:rPr>
        <w:t xml:space="preserve"> </w:t>
      </w:r>
      <w:r w:rsidRPr="002E6411">
        <w:rPr>
          <w:rStyle w:val="Bodytext1"/>
        </w:rPr>
        <w:t>as set out in the relevant Laws</w:t>
      </w:r>
      <w:r w:rsidRPr="002E6411">
        <w:t xml:space="preserve"> (such as transparency, accountability, impartiality, objectivity, confidentiality and in particular non-conflict of interest) with guidance and examples.</w:t>
      </w:r>
    </w:p>
  </w:footnote>
  <w:footnote w:id="121">
    <w:p w14:paraId="1A095CCC" w14:textId="6D744F7A" w:rsidR="0040534C" w:rsidRPr="002E6411" w:rsidRDefault="0040534C" w:rsidP="00FE3FE5">
      <w:pPr>
        <w:pStyle w:val="FootnoteText"/>
      </w:pPr>
      <w:r w:rsidRPr="002E6411">
        <w:rPr>
          <w:rStyle w:val="FootnoteReference"/>
        </w:rPr>
        <w:footnoteRef/>
      </w:r>
      <w:r w:rsidRPr="002E6411">
        <w:t xml:space="preserve"> </w:t>
      </w:r>
      <w:r w:rsidRPr="002E6411">
        <w:tab/>
        <w:t>Three cases of potential (but not actual) conflicts of interest were identified and recommendations were made to the relevant Contracting Authorities to help them strengthen their conflict-of-interest management frameworks, Cypriot Government (2026a), written input, pp.</w:t>
      </w:r>
      <w:r w:rsidR="00412C41">
        <w:t xml:space="preserve"> </w:t>
      </w:r>
      <w:r w:rsidRPr="002E6411">
        <w:t>7-8.</w:t>
      </w:r>
    </w:p>
  </w:footnote>
  <w:footnote w:id="122">
    <w:p w14:paraId="68B9E6FC" w14:textId="580D932D" w:rsidR="0040534C" w:rsidRPr="002E6411" w:rsidRDefault="0040534C" w:rsidP="00FE3FE5">
      <w:pPr>
        <w:pStyle w:val="FootnoteText"/>
      </w:pPr>
      <w:r w:rsidRPr="002E6411">
        <w:rPr>
          <w:rStyle w:val="FootnoteReference"/>
        </w:rPr>
        <w:footnoteRef/>
      </w:r>
      <w:r w:rsidRPr="002E6411">
        <w:t xml:space="preserve"> </w:t>
      </w:r>
      <w:r w:rsidRPr="002E6411">
        <w:tab/>
        <w:t xml:space="preserve">Country visit Cyprus, RTDSA; Cypriot Government (2026), written input, p. 10. RTDSA was designated Digital Services Coordinator in February 2024. </w:t>
      </w:r>
    </w:p>
  </w:footnote>
  <w:footnote w:id="123">
    <w:p w14:paraId="30EFB1EC" w14:textId="77777777" w:rsidR="005C1107" w:rsidRPr="002E6411" w:rsidRDefault="005C1107" w:rsidP="005C1107">
      <w:pPr>
        <w:pStyle w:val="FootnoteText"/>
        <w:rPr>
          <w:lang w:val="en-IE"/>
        </w:rPr>
      </w:pPr>
      <w:r w:rsidRPr="002E6411">
        <w:rPr>
          <w:rStyle w:val="FootnoteReference"/>
        </w:rPr>
        <w:footnoteRef/>
      </w:r>
      <w:r w:rsidRPr="002E6411">
        <w:t xml:space="preserve"> </w:t>
      </w:r>
      <w:r w:rsidRPr="002E6411">
        <w:tab/>
        <w:t>2026 Media Pluralism Monitor report on Cyprus, p. 20.</w:t>
      </w:r>
    </w:p>
  </w:footnote>
  <w:footnote w:id="124">
    <w:p w14:paraId="3EDF3760" w14:textId="1BD3FF1D" w:rsidR="0040534C" w:rsidRPr="002E6411" w:rsidRDefault="0040534C" w:rsidP="00FE3FE5">
      <w:pPr>
        <w:pStyle w:val="FootnoteText"/>
      </w:pPr>
      <w:r w:rsidRPr="002E6411">
        <w:rPr>
          <w:rStyle w:val="FootnoteReference"/>
        </w:rPr>
        <w:footnoteRef/>
      </w:r>
      <w:r w:rsidR="0082187F">
        <w:tab/>
      </w:r>
      <w:r w:rsidRPr="002E6411">
        <w:t>Country visit Cyprus, civil society; 2025 Rule of Law Report, Cyprus, p. 14.</w:t>
      </w:r>
    </w:p>
  </w:footnote>
  <w:footnote w:id="125">
    <w:p w14:paraId="145C31F3" w14:textId="77777777" w:rsidR="0040534C" w:rsidRPr="002E6411" w:rsidRDefault="0040534C" w:rsidP="00FE3FE5">
      <w:pPr>
        <w:pStyle w:val="FootnoteText"/>
      </w:pPr>
      <w:r w:rsidRPr="002E6411">
        <w:rPr>
          <w:rStyle w:val="FootnoteReference"/>
        </w:rPr>
        <w:footnoteRef/>
      </w:r>
      <w:r w:rsidRPr="002E6411">
        <w:t xml:space="preserve"> </w:t>
      </w:r>
      <w:r w:rsidRPr="002E6411">
        <w:tab/>
        <w:t>CIReN (2026a).</w:t>
      </w:r>
    </w:p>
  </w:footnote>
  <w:footnote w:id="126">
    <w:p w14:paraId="2FF4E31D" w14:textId="77777777" w:rsidR="0040534C" w:rsidRPr="007617EB" w:rsidRDefault="0040534C" w:rsidP="00FE3FE5">
      <w:pPr>
        <w:pStyle w:val="FootnoteText"/>
      </w:pPr>
      <w:r w:rsidRPr="002E6411">
        <w:rPr>
          <w:rStyle w:val="FootnoteReference"/>
        </w:rPr>
        <w:footnoteRef/>
      </w:r>
      <w:r w:rsidRPr="002E6411">
        <w:t xml:space="preserve"> </w:t>
      </w:r>
      <w:r w:rsidRPr="002E6411">
        <w:tab/>
        <w:t>CIReN (2026b); Country visit Cyprus, UCJ, IMME, Media Ethics Committee, CIReN. According to a survey conducted by the Cyprus Journalists' Union, 69% of citizens believe that the electorate is being manipulated, of which 86% attribute responsibility mainly to political parties, 82% to the Government and 74% to media owners. Cyprus Journalists' Union (2025b), pp. 26-27.</w:t>
      </w:r>
    </w:p>
  </w:footnote>
  <w:footnote w:id="127">
    <w:p w14:paraId="60B98CFA" w14:textId="77777777" w:rsidR="0040534C" w:rsidRPr="0080342F" w:rsidRDefault="0040534C" w:rsidP="00FE3FE5">
      <w:pPr>
        <w:pStyle w:val="FootnoteText"/>
      </w:pPr>
      <w:r>
        <w:rPr>
          <w:rStyle w:val="FootnoteReference"/>
        </w:rPr>
        <w:footnoteRef/>
      </w:r>
      <w:r>
        <w:t xml:space="preserve"> </w:t>
      </w:r>
      <w:r>
        <w:tab/>
      </w:r>
      <w:r w:rsidRPr="001F7EC4">
        <w:t>202</w:t>
      </w:r>
      <w:r>
        <w:t>6</w:t>
      </w:r>
      <w:r w:rsidRPr="001F7EC4">
        <w:t xml:space="preserve"> Media Pluralism Monitor report on Cyprus</w:t>
      </w:r>
      <w:r w:rsidRPr="0057080F">
        <w:t>, p. 24.</w:t>
      </w:r>
    </w:p>
  </w:footnote>
  <w:footnote w:id="128">
    <w:p w14:paraId="49622A90" w14:textId="246CBE17" w:rsidR="0040534C" w:rsidRPr="007617EB" w:rsidRDefault="0040534C" w:rsidP="00FE3FE5">
      <w:pPr>
        <w:pStyle w:val="FootnoteText"/>
      </w:pPr>
      <w:r w:rsidRPr="007617EB">
        <w:rPr>
          <w:rStyle w:val="FootnoteReference"/>
        </w:rPr>
        <w:footnoteRef/>
      </w:r>
      <w:r w:rsidRPr="007617EB">
        <w:t xml:space="preserve"> </w:t>
      </w:r>
      <w:r>
        <w:tab/>
      </w:r>
      <w:r w:rsidRPr="00B479A2">
        <w:t>The draft law remains pending in Parliament</w:t>
      </w:r>
      <w:r w:rsidR="0083684A" w:rsidRPr="00B479A2">
        <w:t>.</w:t>
      </w:r>
      <w:r w:rsidRPr="00B479A2">
        <w:t>. Country</w:t>
      </w:r>
      <w:r w:rsidRPr="000E06C3">
        <w:t xml:space="preserve"> visit Cyprus</w:t>
      </w:r>
      <w:r w:rsidRPr="007617EB">
        <w:t>, RTDSA.</w:t>
      </w:r>
    </w:p>
  </w:footnote>
  <w:footnote w:id="129">
    <w:p w14:paraId="5607A4B0" w14:textId="77777777" w:rsidR="0040534C" w:rsidRPr="007617EB" w:rsidRDefault="0040534C" w:rsidP="00FE3FE5">
      <w:pPr>
        <w:pStyle w:val="FootnoteText"/>
      </w:pPr>
      <w:r w:rsidRPr="007617EB">
        <w:rPr>
          <w:rStyle w:val="FootnoteReference"/>
        </w:rPr>
        <w:footnoteRef/>
      </w:r>
      <w:r w:rsidRPr="007617EB">
        <w:t xml:space="preserve"> </w:t>
      </w:r>
      <w:r>
        <w:tab/>
      </w:r>
      <w:r w:rsidRPr="007617EB">
        <w:t xml:space="preserve">Cypriot Government (2026), </w:t>
      </w:r>
      <w:r>
        <w:t xml:space="preserve">annex, </w:t>
      </w:r>
      <w:r w:rsidRPr="007617EB">
        <w:t>p. 23.</w:t>
      </w:r>
    </w:p>
  </w:footnote>
  <w:footnote w:id="130">
    <w:p w14:paraId="7E45CDA0" w14:textId="77777777" w:rsidR="0040534C" w:rsidRPr="007617EB" w:rsidRDefault="0040534C" w:rsidP="00FE3FE5">
      <w:pPr>
        <w:pStyle w:val="FootnoteText"/>
      </w:pPr>
      <w:r w:rsidRPr="007617EB">
        <w:rPr>
          <w:rStyle w:val="FootnoteReference"/>
        </w:rPr>
        <w:footnoteRef/>
      </w:r>
      <w:r w:rsidRPr="007617EB">
        <w:t xml:space="preserve"> </w:t>
      </w:r>
      <w:r>
        <w:tab/>
      </w:r>
      <w:r w:rsidRPr="007617EB">
        <w:t xml:space="preserve">Cypriot Government (2026), </w:t>
      </w:r>
      <w:r>
        <w:t xml:space="preserve">annex, </w:t>
      </w:r>
      <w:r w:rsidRPr="007617EB">
        <w:t>p. 23.</w:t>
      </w:r>
    </w:p>
  </w:footnote>
  <w:footnote w:id="131">
    <w:p w14:paraId="56EE5D39" w14:textId="77777777" w:rsidR="0040534C" w:rsidRPr="00122369" w:rsidRDefault="0040534C" w:rsidP="00FE3FE5">
      <w:pPr>
        <w:pStyle w:val="FootnoteText"/>
      </w:pPr>
      <w:r w:rsidRPr="007617EB">
        <w:rPr>
          <w:rStyle w:val="FootnoteReference"/>
        </w:rPr>
        <w:footnoteRef/>
      </w:r>
      <w:r w:rsidRPr="007617EB">
        <w:t xml:space="preserve"> </w:t>
      </w:r>
      <w:r>
        <w:tab/>
      </w:r>
      <w:r w:rsidRPr="007617EB">
        <w:t xml:space="preserve">The 2025 Rule of Law Report recommended Cyprus to adopt legislation to ensure fair and transparent </w:t>
      </w:r>
      <w:r w:rsidRPr="00122369">
        <w:t>distribution of advertising expenditure by the state and state-owned companies. Limited progress was previously assessed on this recommendation in 2025 and no progress in 2024.</w:t>
      </w:r>
    </w:p>
  </w:footnote>
  <w:footnote w:id="132">
    <w:p w14:paraId="117B3557" w14:textId="77777777" w:rsidR="0040534C" w:rsidRPr="00122369" w:rsidRDefault="0040534C" w:rsidP="00FE3FE5">
      <w:pPr>
        <w:pStyle w:val="FootnoteText"/>
      </w:pPr>
      <w:r w:rsidRPr="00122369">
        <w:rPr>
          <w:rStyle w:val="FootnoteReference"/>
        </w:rPr>
        <w:footnoteRef/>
      </w:r>
      <w:r w:rsidRPr="00122369">
        <w:t xml:space="preserve"> </w:t>
      </w:r>
      <w:r w:rsidRPr="00122369">
        <w:tab/>
        <w:t>Country visit Cyprus, UCJ, IMME, Media Ethics Committee, CIReN, civil society; 2026 Media Pluralism Monitor report on Cyprus, p. 36.</w:t>
      </w:r>
    </w:p>
  </w:footnote>
  <w:footnote w:id="133">
    <w:p w14:paraId="3EBA1815" w14:textId="77777777" w:rsidR="0040534C" w:rsidRPr="00122369" w:rsidRDefault="0040534C" w:rsidP="00FE3FE5">
      <w:pPr>
        <w:pStyle w:val="FootnoteText"/>
      </w:pPr>
      <w:r w:rsidRPr="00122369">
        <w:rPr>
          <w:rStyle w:val="FootnoteReference"/>
        </w:rPr>
        <w:footnoteRef/>
      </w:r>
      <w:r w:rsidRPr="00122369">
        <w:t xml:space="preserve"> </w:t>
      </w:r>
      <w:r w:rsidRPr="00122369">
        <w:tab/>
        <w:t>Country visit Cyprus, civil society.</w:t>
      </w:r>
    </w:p>
  </w:footnote>
  <w:footnote w:id="134">
    <w:p w14:paraId="043AB06E" w14:textId="77777777" w:rsidR="0040534C" w:rsidRPr="00122369" w:rsidRDefault="0040534C" w:rsidP="00FE3FE5">
      <w:pPr>
        <w:pStyle w:val="FootnoteText"/>
      </w:pPr>
      <w:r w:rsidRPr="00122369">
        <w:rPr>
          <w:rStyle w:val="FootnoteReference"/>
        </w:rPr>
        <w:footnoteRef/>
      </w:r>
      <w:r w:rsidRPr="00122369">
        <w:t xml:space="preserve"> </w:t>
      </w:r>
      <w:r w:rsidRPr="00122369">
        <w:tab/>
        <w:t>Cypriot Government (2026), written input, pp. 9-10.</w:t>
      </w:r>
    </w:p>
  </w:footnote>
  <w:footnote w:id="135">
    <w:p w14:paraId="5A8F146C" w14:textId="77777777" w:rsidR="0040534C" w:rsidRPr="00122369" w:rsidRDefault="0040534C" w:rsidP="00FE3FE5">
      <w:pPr>
        <w:pStyle w:val="FootnoteText"/>
      </w:pPr>
      <w:r w:rsidRPr="00122369">
        <w:rPr>
          <w:rStyle w:val="FootnoteReference"/>
        </w:rPr>
        <w:footnoteRef/>
      </w:r>
      <w:r w:rsidRPr="00122369">
        <w:t xml:space="preserve"> 2026 Media Pluralism Monitor report on Cyprus, p. 36.</w:t>
      </w:r>
    </w:p>
  </w:footnote>
  <w:footnote w:id="136">
    <w:p w14:paraId="3E0F505F" w14:textId="77777777" w:rsidR="0040534C" w:rsidRPr="00122369" w:rsidRDefault="0040534C" w:rsidP="00FE3FE5">
      <w:pPr>
        <w:pStyle w:val="FootnoteText"/>
      </w:pPr>
      <w:r w:rsidRPr="00122369">
        <w:rPr>
          <w:rStyle w:val="FootnoteReference"/>
        </w:rPr>
        <w:footnoteRef/>
      </w:r>
      <w:r w:rsidRPr="00122369">
        <w:t xml:space="preserve"> </w:t>
      </w:r>
      <w:r w:rsidRPr="00122369">
        <w:tab/>
        <w:t>The 2025 Rule of Law Report recommended Cyprus to strengthen the rules and mechanisms to enhance the independent governance of public service media taking into account European standards on public service media. Limited progress was previously assessed on this recommendation in 2025 and some progress in 2024 and 2023.</w:t>
      </w:r>
    </w:p>
  </w:footnote>
  <w:footnote w:id="137">
    <w:p w14:paraId="6C8B1DE2" w14:textId="77777777" w:rsidR="0040534C" w:rsidRPr="00122369" w:rsidRDefault="0040534C" w:rsidP="00FE3FE5">
      <w:pPr>
        <w:pStyle w:val="FootnoteText"/>
      </w:pPr>
      <w:r w:rsidRPr="00122369">
        <w:rPr>
          <w:rStyle w:val="FootnoteReference"/>
        </w:rPr>
        <w:footnoteRef/>
      </w:r>
      <w:r w:rsidRPr="00122369">
        <w:t xml:space="preserve"> </w:t>
      </w:r>
      <w:r w:rsidRPr="00122369">
        <w:tab/>
        <w:t>Country visit Cyprus, Ministry of Interior.</w:t>
      </w:r>
    </w:p>
  </w:footnote>
  <w:footnote w:id="138">
    <w:p w14:paraId="30064AFB" w14:textId="56F0FFE6" w:rsidR="0040534C" w:rsidRPr="007617EB" w:rsidRDefault="0040534C" w:rsidP="00FE3FE5">
      <w:pPr>
        <w:pStyle w:val="FootnoteText"/>
      </w:pPr>
      <w:r w:rsidRPr="00122369">
        <w:rPr>
          <w:rStyle w:val="FootnoteReference"/>
        </w:rPr>
        <w:footnoteRef/>
      </w:r>
      <w:r w:rsidR="0082187F">
        <w:tab/>
      </w:r>
      <w:r w:rsidRPr="00122369">
        <w:t xml:space="preserve">Country visit Cyprus, Ministry of Interior; </w:t>
      </w:r>
      <w:r w:rsidRPr="00122369">
        <w:rPr>
          <w:lang w:val="en-US"/>
        </w:rPr>
        <w:t>CyBC (2026), written input.</w:t>
      </w:r>
    </w:p>
  </w:footnote>
  <w:footnote w:id="139">
    <w:p w14:paraId="7C775DF7" w14:textId="77777777" w:rsidR="0040534C" w:rsidRPr="00B614B7" w:rsidRDefault="0040534C" w:rsidP="00FE3FE5">
      <w:pPr>
        <w:pStyle w:val="FootnoteText"/>
      </w:pPr>
      <w:r w:rsidRPr="00B614B7">
        <w:rPr>
          <w:rStyle w:val="FootnoteReference"/>
        </w:rPr>
        <w:footnoteRef/>
      </w:r>
      <w:r w:rsidRPr="00B614B7">
        <w:t xml:space="preserve"> </w:t>
      </w:r>
      <w:r w:rsidRPr="00B614B7">
        <w:tab/>
      </w:r>
      <w:r w:rsidRPr="00B614B7">
        <w:rPr>
          <w:lang w:val="en-US"/>
        </w:rPr>
        <w:t>CyBC (2026), written input.</w:t>
      </w:r>
    </w:p>
  </w:footnote>
  <w:footnote w:id="140">
    <w:p w14:paraId="0A5CC452" w14:textId="76960B78" w:rsidR="0040534C" w:rsidRPr="00B614B7" w:rsidRDefault="0040534C" w:rsidP="00FE3FE5">
      <w:pPr>
        <w:pStyle w:val="FootnoteText"/>
      </w:pPr>
      <w:r w:rsidRPr="00B614B7">
        <w:rPr>
          <w:rStyle w:val="FootnoteReference"/>
        </w:rPr>
        <w:footnoteRef/>
      </w:r>
      <w:r w:rsidR="0082187F">
        <w:tab/>
      </w:r>
      <w:r w:rsidRPr="00B614B7">
        <w:t>Country visit Cyprus, civil society; 2026 Media Pluralism Monitor report on Cyprus, p. 37.</w:t>
      </w:r>
    </w:p>
  </w:footnote>
  <w:footnote w:id="141">
    <w:p w14:paraId="23E42D5F" w14:textId="77777777" w:rsidR="0040534C" w:rsidRPr="00B614B7" w:rsidRDefault="0040534C" w:rsidP="00FE3FE5">
      <w:pPr>
        <w:pStyle w:val="FootnoteText"/>
      </w:pPr>
      <w:r w:rsidRPr="00B614B7">
        <w:rPr>
          <w:rStyle w:val="FootnoteReference"/>
        </w:rPr>
        <w:footnoteRef/>
      </w:r>
      <w:r w:rsidRPr="00B614B7">
        <w:t xml:space="preserve"> </w:t>
      </w:r>
      <w:r w:rsidRPr="00B614B7">
        <w:tab/>
        <w:t>2026 Media Pluralism Monitor report on Cyprus, p. 37.</w:t>
      </w:r>
    </w:p>
  </w:footnote>
  <w:footnote w:id="142">
    <w:p w14:paraId="03AD561B" w14:textId="77777777" w:rsidR="0040534C" w:rsidRPr="00B614B7" w:rsidRDefault="0040534C" w:rsidP="00FE3FE5">
      <w:pPr>
        <w:pStyle w:val="FootnoteText"/>
      </w:pPr>
      <w:r w:rsidRPr="00B614B7">
        <w:rPr>
          <w:rStyle w:val="FootnoteReference"/>
        </w:rPr>
        <w:footnoteRef/>
      </w:r>
      <w:r w:rsidRPr="00B614B7">
        <w:t xml:space="preserve"> </w:t>
      </w:r>
      <w:r w:rsidRPr="00B614B7">
        <w:tab/>
        <w:t xml:space="preserve">Country visit Cyprus, </w:t>
      </w:r>
      <w:r w:rsidRPr="00B614B7">
        <w:rPr>
          <w:lang w:val="en-US"/>
        </w:rPr>
        <w:t xml:space="preserve">Office of the Information Commissioner. The Information Commissioner, who also serves as the </w:t>
      </w:r>
      <w:r w:rsidRPr="00B614B7">
        <w:t>Data Protection Commissioner, is only supported by one staff member. See also, 2025 Rule of Law Report, Cyprus, p. 15.</w:t>
      </w:r>
    </w:p>
  </w:footnote>
  <w:footnote w:id="143">
    <w:p w14:paraId="2BCCECF4" w14:textId="77777777" w:rsidR="0040534C" w:rsidRPr="00B614B7" w:rsidRDefault="0040534C" w:rsidP="00FE3FE5">
      <w:pPr>
        <w:pStyle w:val="FootnoteText"/>
        <w:rPr>
          <w:lang w:val="en-IE"/>
        </w:rPr>
      </w:pPr>
      <w:r w:rsidRPr="00B614B7">
        <w:rPr>
          <w:rStyle w:val="FootnoteReference"/>
        </w:rPr>
        <w:footnoteRef/>
      </w:r>
      <w:r w:rsidRPr="00B614B7">
        <w:t xml:space="preserve"> </w:t>
      </w:r>
      <w:r w:rsidRPr="00B614B7">
        <w:tab/>
        <w:t>Law 184 (I)/2017 on the Right of Access to Public Sector Information.</w:t>
      </w:r>
    </w:p>
  </w:footnote>
  <w:footnote w:id="144">
    <w:p w14:paraId="6FAB0762" w14:textId="77777777" w:rsidR="0040534C" w:rsidRPr="00B614B7" w:rsidRDefault="0040534C" w:rsidP="00FE3FE5">
      <w:pPr>
        <w:pStyle w:val="FootnoteText"/>
      </w:pPr>
      <w:r w:rsidRPr="00B614B7">
        <w:rPr>
          <w:rStyle w:val="FootnoteReference"/>
        </w:rPr>
        <w:footnoteRef/>
      </w:r>
      <w:r w:rsidRPr="00B614B7">
        <w:tab/>
        <w:t xml:space="preserve">Prof. Stéphanie Laulhé Shaelou and Dr. Klearchos Kyriakides (2024), pp. 62-67. </w:t>
      </w:r>
      <w:r w:rsidRPr="00B614B7">
        <w:rPr>
          <w:lang w:val="en-IE"/>
        </w:rPr>
        <w:t>GRECO had recommended that (</w:t>
      </w:r>
      <w:r w:rsidRPr="00B614B7">
        <w:rPr>
          <w:i/>
          <w:iCs/>
          <w:lang w:val="en-IE"/>
        </w:rPr>
        <w:t xml:space="preserve">i) access to information be subject to an independent and thorough analysis, (…); and (ii) in light of the findings of this analysis, additional measures be taken to improve public access to information and a culture of openness within the public authorities, where necessary. </w:t>
      </w:r>
      <w:r w:rsidRPr="00B614B7">
        <w:t>GRECO (2023), para 263(vi).</w:t>
      </w:r>
    </w:p>
  </w:footnote>
  <w:footnote w:id="145">
    <w:p w14:paraId="0F472407" w14:textId="77777777" w:rsidR="0040534C" w:rsidRPr="00B614B7" w:rsidRDefault="0040534C" w:rsidP="00FE3FE5">
      <w:pPr>
        <w:pStyle w:val="FootnoteText"/>
      </w:pPr>
      <w:r w:rsidRPr="00B614B7">
        <w:rPr>
          <w:rStyle w:val="FootnoteReference"/>
        </w:rPr>
        <w:footnoteRef/>
      </w:r>
      <w:r w:rsidRPr="00B614B7">
        <w:t xml:space="preserve"> </w:t>
      </w:r>
      <w:r w:rsidRPr="00B614B7">
        <w:tab/>
        <w:t xml:space="preserve">Country visit Cyprus, </w:t>
      </w:r>
      <w:r w:rsidRPr="00B614B7">
        <w:rPr>
          <w:lang w:val="en-US"/>
        </w:rPr>
        <w:t>Office of the Information Commissioner.</w:t>
      </w:r>
    </w:p>
  </w:footnote>
  <w:footnote w:id="146">
    <w:p w14:paraId="373DE9E6" w14:textId="77777777" w:rsidR="0040534C" w:rsidRPr="00B614B7" w:rsidRDefault="0040534C" w:rsidP="00FE3FE5">
      <w:pPr>
        <w:pStyle w:val="FootnoteText"/>
      </w:pPr>
      <w:r w:rsidRPr="00B614B7">
        <w:rPr>
          <w:rStyle w:val="FootnoteReference"/>
        </w:rPr>
        <w:footnoteRef/>
      </w:r>
      <w:r w:rsidRPr="00B614B7">
        <w:t xml:space="preserve"> </w:t>
      </w:r>
      <w:r w:rsidRPr="00B614B7">
        <w:tab/>
        <w:t>GRECO (2025), paras 39-43.</w:t>
      </w:r>
    </w:p>
  </w:footnote>
  <w:footnote w:id="147">
    <w:p w14:paraId="43EC72B4" w14:textId="4DCA79B2" w:rsidR="005440F6" w:rsidRPr="003673AA" w:rsidRDefault="005440F6">
      <w:pPr>
        <w:pStyle w:val="FootnoteText"/>
        <w:rPr>
          <w:lang w:val="en-IE"/>
        </w:rPr>
      </w:pPr>
      <w:r>
        <w:rPr>
          <w:rStyle w:val="FootnoteReference"/>
        </w:rPr>
        <w:footnoteRef/>
      </w:r>
      <w:r>
        <w:tab/>
      </w:r>
      <w:r w:rsidR="003673AA" w:rsidRPr="00AA78D8">
        <w:t>The Minister of Justice and Public Order requested the assistance of the Law Commissioner in preparing a bill to address issues relating to Law 184(I)/2017.</w:t>
      </w:r>
      <w:r w:rsidR="003673AA">
        <w:t xml:space="preserve"> Cypriot Government (2026c).</w:t>
      </w:r>
    </w:p>
  </w:footnote>
  <w:footnote w:id="148">
    <w:p w14:paraId="5D42EFB9" w14:textId="77777777" w:rsidR="0040534C" w:rsidRPr="00B614B7" w:rsidRDefault="0040534C" w:rsidP="00FE3FE5">
      <w:pPr>
        <w:pStyle w:val="FootnoteText"/>
      </w:pPr>
      <w:r w:rsidRPr="00B614B7">
        <w:rPr>
          <w:rStyle w:val="FootnoteReference"/>
        </w:rPr>
        <w:footnoteRef/>
      </w:r>
      <w:r w:rsidRPr="00B614B7">
        <w:t xml:space="preserve"> </w:t>
      </w:r>
      <w:r w:rsidRPr="00B614B7">
        <w:tab/>
        <w:t>Country visit Cyprus, UCJ, IMME, Media Ethics Committee, CIReN.</w:t>
      </w:r>
    </w:p>
  </w:footnote>
  <w:footnote w:id="149">
    <w:p w14:paraId="6BF37DDF" w14:textId="07C1B31D" w:rsidR="0040534C" w:rsidRPr="00B614B7" w:rsidRDefault="0040534C" w:rsidP="00FE3FE5">
      <w:pPr>
        <w:pStyle w:val="FootnoteText"/>
        <w:rPr>
          <w:lang w:val="en-IE"/>
        </w:rPr>
      </w:pPr>
      <w:r w:rsidRPr="00B614B7">
        <w:rPr>
          <w:rStyle w:val="FootnoteReference"/>
        </w:rPr>
        <w:footnoteRef/>
      </w:r>
      <w:r w:rsidR="00C555A3">
        <w:tab/>
      </w:r>
      <w:r w:rsidRPr="00B614B7">
        <w:t>2026 Media Pluralism Monitor report on Cyprus, p. 17.</w:t>
      </w:r>
    </w:p>
  </w:footnote>
  <w:footnote w:id="150">
    <w:p w14:paraId="7730C2E7" w14:textId="77777777" w:rsidR="0040534C" w:rsidRPr="00B614B7" w:rsidRDefault="0040534C" w:rsidP="00FE3FE5">
      <w:pPr>
        <w:pStyle w:val="FootnoteText"/>
      </w:pPr>
      <w:r w:rsidRPr="00B614B7">
        <w:rPr>
          <w:rStyle w:val="FootnoteReference"/>
        </w:rPr>
        <w:footnoteRef/>
      </w:r>
      <w:r w:rsidRPr="00B614B7">
        <w:t xml:space="preserve"> </w:t>
      </w:r>
      <w:r w:rsidRPr="00B614B7">
        <w:tab/>
        <w:t>The Protection of Persons Taking Public Participation Actions from Manifestly Unfounded Lawsuits or Abusive Judicial Proceedings Law of 2026.</w:t>
      </w:r>
    </w:p>
  </w:footnote>
  <w:footnote w:id="151">
    <w:p w14:paraId="24B21187" w14:textId="77777777" w:rsidR="0040534C" w:rsidRPr="00AE4822" w:rsidRDefault="0040534C" w:rsidP="00FE3FE5">
      <w:pPr>
        <w:pStyle w:val="FootnoteText"/>
      </w:pPr>
      <w:r w:rsidRPr="00B614B7">
        <w:rPr>
          <w:rStyle w:val="FootnoteReference"/>
        </w:rPr>
        <w:footnoteRef/>
      </w:r>
      <w:r w:rsidRPr="00B614B7">
        <w:t xml:space="preserve"> </w:t>
      </w:r>
      <w:r w:rsidRPr="00B614B7">
        <w:tab/>
        <w:t>Country visit Cyprus, UCJ, IMME, Media Ethics Committee, CIReN</w:t>
      </w:r>
      <w:r w:rsidRPr="007617EB">
        <w:t>.</w:t>
      </w:r>
    </w:p>
  </w:footnote>
  <w:footnote w:id="152">
    <w:p w14:paraId="5E573A63" w14:textId="77777777" w:rsidR="0040534C" w:rsidRPr="007617EB" w:rsidRDefault="0040534C" w:rsidP="00FE3FE5">
      <w:pPr>
        <w:pStyle w:val="FootnoteText"/>
      </w:pPr>
      <w:r w:rsidRPr="007617EB">
        <w:rPr>
          <w:rStyle w:val="FootnoteReference"/>
        </w:rPr>
        <w:footnoteRef/>
      </w:r>
      <w:r w:rsidRPr="007617EB">
        <w:t xml:space="preserve"> </w:t>
      </w:r>
      <w:r>
        <w:tab/>
      </w:r>
      <w:r w:rsidRPr="007617EB">
        <w:t>Council of Europe, Platform to promote the protection of journalism and safety of journalists (2026).</w:t>
      </w:r>
      <w:r>
        <w:t xml:space="preserve"> The state has not replied to the alert.</w:t>
      </w:r>
    </w:p>
  </w:footnote>
  <w:footnote w:id="153">
    <w:p w14:paraId="5367D9B5" w14:textId="77777777" w:rsidR="0040534C" w:rsidRPr="00937D03" w:rsidRDefault="0040534C" w:rsidP="00FE3FE5">
      <w:pPr>
        <w:pStyle w:val="FootnoteText"/>
      </w:pPr>
      <w:r w:rsidRPr="007617EB">
        <w:rPr>
          <w:rStyle w:val="FootnoteReference"/>
        </w:rPr>
        <w:footnoteRef/>
      </w:r>
      <w:r w:rsidRPr="007617EB">
        <w:t xml:space="preserve"> </w:t>
      </w:r>
      <w:r>
        <w:tab/>
      </w:r>
      <w:r w:rsidRPr="007617EB">
        <w:t xml:space="preserve">European Centre for </w:t>
      </w:r>
      <w:r w:rsidRPr="00937D03">
        <w:t>Press and Media Freedom, Media Freedom Rapid Response – Cyprus. One of these alerts overlaps with the alert published on the Council of Europe Safety of Journalists Platform.</w:t>
      </w:r>
    </w:p>
  </w:footnote>
  <w:footnote w:id="154">
    <w:p w14:paraId="5217C441" w14:textId="77777777" w:rsidR="0040534C" w:rsidRPr="00937D03" w:rsidRDefault="0040534C" w:rsidP="00FE3FE5">
      <w:pPr>
        <w:pStyle w:val="FootnoteText"/>
      </w:pPr>
      <w:r w:rsidRPr="00937D03">
        <w:rPr>
          <w:rStyle w:val="FootnoteReference"/>
        </w:rPr>
        <w:footnoteRef/>
      </w:r>
      <w:r w:rsidRPr="00937D03">
        <w:t xml:space="preserve"> </w:t>
      </w:r>
      <w:r w:rsidRPr="00937D03">
        <w:tab/>
        <w:t>Country visit Cyprus, UCJ, IMME, Media Ethics Committee, CIReN.</w:t>
      </w:r>
    </w:p>
  </w:footnote>
  <w:footnote w:id="155">
    <w:p w14:paraId="74D0C0BC" w14:textId="2D0101EE" w:rsidR="0040534C" w:rsidRPr="00937D03" w:rsidRDefault="0040534C" w:rsidP="00FE3FE5">
      <w:pPr>
        <w:pStyle w:val="FootnoteText"/>
      </w:pPr>
      <w:r w:rsidRPr="00937D03">
        <w:rPr>
          <w:rStyle w:val="FootnoteReference"/>
        </w:rPr>
        <w:footnoteRef/>
      </w:r>
      <w:r w:rsidR="00DD6B1C">
        <w:tab/>
      </w:r>
      <w:r w:rsidRPr="00937D03">
        <w:t>Union of Cyprus Journalists (2025a), pp. 11 and 25.</w:t>
      </w:r>
    </w:p>
  </w:footnote>
  <w:footnote w:id="156">
    <w:p w14:paraId="077EE54F" w14:textId="1AB3C940" w:rsidR="0040534C" w:rsidRPr="00937D03" w:rsidRDefault="0040534C" w:rsidP="00FE3FE5">
      <w:pPr>
        <w:pStyle w:val="FootnoteText"/>
        <w:rPr>
          <w:lang w:val="en-IE"/>
        </w:rPr>
      </w:pPr>
      <w:r w:rsidRPr="00937D03">
        <w:rPr>
          <w:rStyle w:val="FootnoteReference"/>
        </w:rPr>
        <w:footnoteRef/>
      </w:r>
      <w:r w:rsidR="00DD6B1C">
        <w:tab/>
      </w:r>
      <w:r w:rsidRPr="00937D03">
        <w:t>2026 Media Pluralism Monitor report on Cyprus, p. 18.</w:t>
      </w:r>
    </w:p>
  </w:footnote>
  <w:footnote w:id="157">
    <w:p w14:paraId="2A2FC8AA" w14:textId="77777777" w:rsidR="0040534C" w:rsidRPr="00937D03" w:rsidRDefault="0040534C" w:rsidP="00FE3FE5">
      <w:pPr>
        <w:pStyle w:val="FootnoteText"/>
      </w:pPr>
      <w:r w:rsidRPr="00937D03">
        <w:rPr>
          <w:rStyle w:val="FootnoteReference"/>
        </w:rPr>
        <w:footnoteRef/>
      </w:r>
      <w:r w:rsidRPr="00937D03">
        <w:t xml:space="preserve"> </w:t>
      </w:r>
      <w:r w:rsidRPr="00937D03">
        <w:tab/>
        <w:t xml:space="preserve">Citizens need to </w:t>
      </w:r>
      <w:r w:rsidRPr="00937D03">
        <w:rPr>
          <w:lang w:eastAsia="fr-FR"/>
        </w:rPr>
        <w:t>gather at least 5,000 signatures</w:t>
      </w:r>
      <w:r w:rsidRPr="00937D03">
        <w:rPr>
          <w:lang w:val="en-US" w:eastAsia="fr-FR"/>
        </w:rPr>
        <w:t>.</w:t>
      </w:r>
      <w:r w:rsidRPr="00937D03">
        <w:rPr>
          <w:lang w:eastAsia="fr-FR"/>
        </w:rPr>
        <w:t xml:space="preserve"> The submission of proposals and the collection of signatures will take place through an electronic platform, with oversight by an interministerial committee.</w:t>
      </w:r>
    </w:p>
  </w:footnote>
  <w:footnote w:id="158">
    <w:p w14:paraId="0631E7BF" w14:textId="77777777" w:rsidR="0040534C" w:rsidRPr="00937D03" w:rsidRDefault="0040534C" w:rsidP="00FE3FE5">
      <w:pPr>
        <w:pStyle w:val="FootnoteText"/>
      </w:pPr>
      <w:r w:rsidRPr="00937D03">
        <w:rPr>
          <w:rStyle w:val="FootnoteReference"/>
        </w:rPr>
        <w:footnoteRef/>
      </w:r>
      <w:r w:rsidRPr="00937D03">
        <w:t xml:space="preserve"> </w:t>
      </w:r>
      <w:r w:rsidRPr="00937D03">
        <w:tab/>
        <w:t>Cypriot Government (2026), written input, pp. 24-25. See also, GRECO (2025), para 46.</w:t>
      </w:r>
    </w:p>
  </w:footnote>
  <w:footnote w:id="159">
    <w:p w14:paraId="43943086" w14:textId="77777777" w:rsidR="0040534C" w:rsidRPr="00937D03" w:rsidRDefault="0040534C" w:rsidP="00FE3FE5">
      <w:pPr>
        <w:pStyle w:val="FootnoteText"/>
      </w:pPr>
      <w:r w:rsidRPr="00937D03">
        <w:rPr>
          <w:rStyle w:val="FootnoteReference"/>
        </w:rPr>
        <w:footnoteRef/>
      </w:r>
      <w:r w:rsidRPr="00937D03">
        <w:t xml:space="preserve"> </w:t>
      </w:r>
      <w:r w:rsidRPr="00937D03">
        <w:tab/>
        <w:t xml:space="preserve">Consultations rose from 112 in 2024 to 249 in 2025; the number of participating services increased from 77 to 101, stakeholder comments from 792 to 2.341, and registered external users from 472 to 1.122. </w:t>
      </w:r>
      <w:r w:rsidRPr="00937D03">
        <w:rPr>
          <w:bCs/>
          <w:lang w:eastAsia="fr-FR"/>
        </w:rPr>
        <w:t>High-profile topics, such as tax reform, have seen a notable increase in public feedback.</w:t>
      </w:r>
    </w:p>
  </w:footnote>
  <w:footnote w:id="160">
    <w:p w14:paraId="27166FFB" w14:textId="050789EB" w:rsidR="0040534C" w:rsidRPr="00AB720E" w:rsidRDefault="0040534C" w:rsidP="00FE3FE5">
      <w:pPr>
        <w:pStyle w:val="FootnoteText"/>
      </w:pPr>
      <w:r w:rsidRPr="00937D03">
        <w:rPr>
          <w:rStyle w:val="FootnoteReference"/>
        </w:rPr>
        <w:footnoteRef/>
      </w:r>
      <w:r w:rsidRPr="00937D03">
        <w:t xml:space="preserve"> </w:t>
      </w:r>
      <w:r w:rsidRPr="00937D03">
        <w:tab/>
        <w:t xml:space="preserve">European Semester 2026, </w:t>
      </w:r>
      <w:r>
        <w:t>Cyprus, pp. 60-61</w:t>
      </w:r>
      <w:r w:rsidRPr="00937D03">
        <w:t xml:space="preserve">. </w:t>
      </w:r>
      <w:r w:rsidR="00AB720E" w:rsidRPr="00AB720E">
        <w:rPr>
          <w:lang w:val="en-US"/>
        </w:rPr>
        <w:t>In accordance with the Consultation Guide and the relevant Ministerial Decision, responses to consultation comments must be published through the e-consultation platform within two weeks after the end of the consultation period, Cypriot Government (2026c).</w:t>
      </w:r>
    </w:p>
  </w:footnote>
  <w:footnote w:id="161">
    <w:p w14:paraId="22D2A7DC" w14:textId="77777777" w:rsidR="0040534C" w:rsidRPr="00937D03" w:rsidRDefault="0040534C" w:rsidP="00FE3FE5">
      <w:pPr>
        <w:pStyle w:val="FootnoteText"/>
      </w:pPr>
      <w:r w:rsidRPr="00937D03">
        <w:rPr>
          <w:rStyle w:val="FootnoteReference"/>
        </w:rPr>
        <w:footnoteRef/>
      </w:r>
      <w:r w:rsidRPr="00937D03">
        <w:t xml:space="preserve"> </w:t>
      </w:r>
      <w:r w:rsidRPr="00937D03">
        <w:tab/>
        <w:t xml:space="preserve">Country visit, Cyprus, Civil Society. </w:t>
      </w:r>
    </w:p>
  </w:footnote>
  <w:footnote w:id="162">
    <w:p w14:paraId="067E54D4" w14:textId="7C13F473" w:rsidR="0040534C" w:rsidRPr="00937D03" w:rsidRDefault="0040534C" w:rsidP="00FE3FE5">
      <w:pPr>
        <w:pStyle w:val="FootnoteText"/>
      </w:pPr>
      <w:r w:rsidRPr="00937D03">
        <w:rPr>
          <w:rStyle w:val="FootnoteReference"/>
        </w:rPr>
        <w:footnoteRef/>
      </w:r>
      <w:r w:rsidRPr="00937D03">
        <w:t xml:space="preserve"> </w:t>
      </w:r>
      <w:r w:rsidRPr="00937D03">
        <w:tab/>
        <w:t>2025 Rule of Law Report, Cyprus, p.</w:t>
      </w:r>
      <w:r w:rsidR="00C555A3">
        <w:t xml:space="preserve"> </w:t>
      </w:r>
      <w:r w:rsidRPr="00937D03">
        <w:t>16.</w:t>
      </w:r>
    </w:p>
  </w:footnote>
  <w:footnote w:id="163">
    <w:p w14:paraId="3788FB71" w14:textId="77777777" w:rsidR="0040534C" w:rsidRPr="00937D03" w:rsidRDefault="0040534C" w:rsidP="00FE3FE5">
      <w:pPr>
        <w:pStyle w:val="FootnoteText"/>
      </w:pPr>
      <w:r w:rsidRPr="00937D03">
        <w:rPr>
          <w:rStyle w:val="FootnoteReference"/>
        </w:rPr>
        <w:footnoteRef/>
      </w:r>
      <w:r w:rsidRPr="00937D03">
        <w:t xml:space="preserve"> </w:t>
      </w:r>
      <w:r w:rsidRPr="00937D03">
        <w:tab/>
        <w:t>Regulation 42 (4) of Parliamentary Regulations; Country visit, Cyprus, Civil society.</w:t>
      </w:r>
    </w:p>
  </w:footnote>
  <w:footnote w:id="164">
    <w:p w14:paraId="1D230142" w14:textId="77777777" w:rsidR="0040534C" w:rsidRPr="00937D03" w:rsidRDefault="0040534C" w:rsidP="00FE3FE5">
      <w:pPr>
        <w:pStyle w:val="FootnoteText"/>
      </w:pPr>
      <w:r w:rsidRPr="00937D03">
        <w:rPr>
          <w:rStyle w:val="FootnoteReference"/>
        </w:rPr>
        <w:footnoteRef/>
      </w:r>
      <w:r w:rsidRPr="00937D03">
        <w:t xml:space="preserve"> </w:t>
      </w:r>
      <w:r w:rsidRPr="00937D03">
        <w:tab/>
        <w:t>NomosPlatform is an independent, non-profit legislative observatory which enables citizens to directly track Cypriot parliamentary proceedings in real time. Oxygen for democracy (2026), written input, p. 6.</w:t>
      </w:r>
    </w:p>
  </w:footnote>
  <w:footnote w:id="165">
    <w:p w14:paraId="62F40755" w14:textId="4FDB3045" w:rsidR="0040534C" w:rsidRPr="00396960" w:rsidRDefault="0040534C" w:rsidP="00FE3FE5">
      <w:pPr>
        <w:pStyle w:val="FootnoteText"/>
      </w:pPr>
      <w:r w:rsidRPr="00937D03">
        <w:rPr>
          <w:rStyle w:val="FootnoteReference"/>
        </w:rPr>
        <w:footnoteRef/>
      </w:r>
      <w:r w:rsidRPr="00937D03">
        <w:t xml:space="preserve"> </w:t>
      </w:r>
      <w:r w:rsidRPr="00937D03">
        <w:tab/>
      </w:r>
      <w:r w:rsidRPr="00937D03">
        <w:rPr>
          <w:lang w:eastAsia="fr-FR"/>
        </w:rPr>
        <w:t>Remaining key gaps include risk assessment and early consideration of how policymakers will measure the progress of a regulation post-implementation.</w:t>
      </w:r>
      <w:r w:rsidRPr="00937D03">
        <w:t xml:space="preserve"> OECD (2025), Better Regulation across the European Union 2025, p.</w:t>
      </w:r>
      <w:r w:rsidR="00C555A3">
        <w:t xml:space="preserve"> </w:t>
      </w:r>
      <w:r w:rsidRPr="00937D03">
        <w:t>138. See also, 2023 Rule of Law Report, Cyprus, p. 21.</w:t>
      </w:r>
    </w:p>
  </w:footnote>
  <w:footnote w:id="166">
    <w:p w14:paraId="46CA3739" w14:textId="77777777" w:rsidR="0040534C" w:rsidRPr="00396960" w:rsidRDefault="0040534C" w:rsidP="00FE3FE5">
      <w:pPr>
        <w:pStyle w:val="FootnoteText"/>
      </w:pPr>
      <w:r w:rsidRPr="00396960">
        <w:rPr>
          <w:rStyle w:val="FootnoteReference"/>
        </w:rPr>
        <w:footnoteRef/>
      </w:r>
      <w:r>
        <w:tab/>
      </w:r>
      <w:r w:rsidRPr="00396960">
        <w:t xml:space="preserve">European Semester 2026, </w:t>
      </w:r>
      <w:r>
        <w:t>Cyprus, pp. 60-61.</w:t>
      </w:r>
      <w:r w:rsidRPr="00396960">
        <w:t xml:space="preserve"> </w:t>
      </w:r>
    </w:p>
  </w:footnote>
  <w:footnote w:id="167">
    <w:p w14:paraId="56B55C66" w14:textId="77777777" w:rsidR="0040534C" w:rsidRPr="00396960" w:rsidRDefault="0040534C" w:rsidP="00FE3FE5">
      <w:pPr>
        <w:pStyle w:val="FootnoteText"/>
      </w:pPr>
      <w:r w:rsidRPr="00396960">
        <w:rPr>
          <w:rStyle w:val="FootnoteReference"/>
        </w:rPr>
        <w:footnoteRef/>
      </w:r>
      <w:r w:rsidRPr="00396960">
        <w:t xml:space="preserve"> </w:t>
      </w:r>
      <w:r>
        <w:tab/>
      </w:r>
      <w:r w:rsidRPr="00396960">
        <w:t xml:space="preserve">Country visit, Cyprus, Civil society. </w:t>
      </w:r>
    </w:p>
  </w:footnote>
  <w:footnote w:id="168">
    <w:p w14:paraId="06A694F7" w14:textId="77777777" w:rsidR="0040534C" w:rsidRPr="00BD6AF0" w:rsidRDefault="0040534C" w:rsidP="00FE3FE5">
      <w:pPr>
        <w:pStyle w:val="FootnoteText"/>
      </w:pPr>
      <w:r w:rsidRPr="00396960">
        <w:rPr>
          <w:rStyle w:val="FootnoteReference"/>
        </w:rPr>
        <w:footnoteRef/>
      </w:r>
      <w:r w:rsidRPr="00BD6AF0">
        <w:t xml:space="preserve"> </w:t>
      </w:r>
      <w:r w:rsidRPr="00BD6AF0">
        <w:tab/>
        <w:t>Figure 53, 2026 EU Justice Scoreboard.</w:t>
      </w:r>
    </w:p>
  </w:footnote>
  <w:footnote w:id="169">
    <w:p w14:paraId="3FAD8E63" w14:textId="77777777" w:rsidR="0040534C" w:rsidRPr="00396960" w:rsidRDefault="0040534C" w:rsidP="00FE3FE5">
      <w:pPr>
        <w:pStyle w:val="FootnoteText"/>
      </w:pPr>
      <w:r w:rsidRPr="00396960">
        <w:rPr>
          <w:rStyle w:val="FootnoteReference"/>
        </w:rPr>
        <w:footnoteRef/>
      </w:r>
      <w:r w:rsidRPr="00396960">
        <w:t xml:space="preserve"> </w:t>
      </w:r>
      <w:r>
        <w:tab/>
        <w:t xml:space="preserve">Initially included in the National Recovery and Resilience Plan, it is now financed with national funds. Cypriot Government (2026), pp. 25-26. 2025 Rule of Law Report, Cyprus, p. 17. </w:t>
      </w:r>
      <w:r w:rsidRPr="00396960">
        <w:t xml:space="preserve"> </w:t>
      </w:r>
    </w:p>
  </w:footnote>
  <w:footnote w:id="170">
    <w:p w14:paraId="003C50D3" w14:textId="77777777" w:rsidR="0040534C" w:rsidRPr="00056F1D" w:rsidRDefault="0040534C" w:rsidP="00FE3FE5">
      <w:pPr>
        <w:pStyle w:val="FootnoteText"/>
      </w:pPr>
      <w:r w:rsidRPr="00056F1D">
        <w:rPr>
          <w:rStyle w:val="FootnoteReference"/>
        </w:rPr>
        <w:footnoteRef/>
      </w:r>
      <w:r w:rsidRPr="00691676">
        <w:t xml:space="preserve"> </w:t>
      </w:r>
      <w:r w:rsidRPr="00691676">
        <w:tab/>
        <w:t>Figure</w:t>
      </w:r>
      <w:r>
        <w:t>s</w:t>
      </w:r>
      <w:r w:rsidRPr="00691676">
        <w:t xml:space="preserve"> </w:t>
      </w:r>
      <w:r>
        <w:t xml:space="preserve">52 and </w:t>
      </w:r>
      <w:r w:rsidRPr="00691676">
        <w:t>5</w:t>
      </w:r>
      <w:r>
        <w:t>3</w:t>
      </w:r>
      <w:r w:rsidRPr="00691676">
        <w:t>, 202</w:t>
      </w:r>
      <w:r>
        <w:t>6</w:t>
      </w:r>
      <w:r w:rsidRPr="00691676">
        <w:t xml:space="preserve"> EU Justice Scoreboard</w:t>
      </w:r>
      <w:r>
        <w:t xml:space="preserve">. </w:t>
      </w:r>
    </w:p>
  </w:footnote>
  <w:footnote w:id="171">
    <w:p w14:paraId="24F54E80" w14:textId="77777777" w:rsidR="0040534C" w:rsidRPr="00056F1D" w:rsidRDefault="0040534C" w:rsidP="00FE3FE5">
      <w:pPr>
        <w:pStyle w:val="FootnoteText"/>
      </w:pPr>
      <w:r w:rsidRPr="00056F1D">
        <w:rPr>
          <w:rStyle w:val="FootnoteReference"/>
        </w:rPr>
        <w:footnoteRef/>
      </w:r>
      <w:r w:rsidRPr="00056F1D">
        <w:t xml:space="preserve"> </w:t>
      </w:r>
      <w:r w:rsidRPr="00056F1D">
        <w:tab/>
        <w:t xml:space="preserve">Figure </w:t>
      </w:r>
      <w:r>
        <w:t>60</w:t>
      </w:r>
      <w:r w:rsidRPr="00056F1D">
        <w:t>, 202</w:t>
      </w:r>
      <w:r>
        <w:t>6</w:t>
      </w:r>
      <w:r w:rsidRPr="00056F1D">
        <w:t xml:space="preserve"> EU Justice Scoreboard.</w:t>
      </w:r>
    </w:p>
  </w:footnote>
  <w:footnote w:id="172">
    <w:p w14:paraId="71D13F8B" w14:textId="77777777" w:rsidR="0040534C" w:rsidRPr="00866ABA" w:rsidRDefault="0040534C" w:rsidP="00FE3FE5">
      <w:pPr>
        <w:pStyle w:val="FootnoteText"/>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73">
    <w:p w14:paraId="037FA4D2" w14:textId="77777777" w:rsidR="0040534C" w:rsidRPr="00396960" w:rsidRDefault="0040534C" w:rsidP="00FE3FE5">
      <w:pPr>
        <w:pStyle w:val="FootnoteText"/>
      </w:pPr>
      <w:r w:rsidRPr="00396960">
        <w:rPr>
          <w:rStyle w:val="FootnoteReference"/>
        </w:rPr>
        <w:footnoteRef/>
      </w:r>
      <w:r w:rsidRPr="00396960">
        <w:t xml:space="preserve"> </w:t>
      </w:r>
      <w:r w:rsidRPr="00396960">
        <w:tab/>
        <w:t>The 2025 Rule of Law Report recommended to Cyprus to ensure that the ongoing reform of the Audit Office introduces safeguards in the appointment procedure to enhance the independence of the Auditor General and the Deputy Auditor General.</w:t>
      </w:r>
    </w:p>
  </w:footnote>
  <w:footnote w:id="174">
    <w:p w14:paraId="52E2C05D" w14:textId="77777777" w:rsidR="0040534C" w:rsidRPr="00396960" w:rsidRDefault="0040534C" w:rsidP="00FE3FE5">
      <w:pPr>
        <w:pStyle w:val="FootnoteText"/>
      </w:pPr>
      <w:r w:rsidRPr="00396960">
        <w:rPr>
          <w:rStyle w:val="FootnoteReference"/>
        </w:rPr>
        <w:footnoteRef/>
      </w:r>
      <w:r w:rsidRPr="00396960">
        <w:t xml:space="preserve"> </w:t>
      </w:r>
      <w:r w:rsidRPr="00396960">
        <w:tab/>
        <w:t>Law 186(I) 2025.</w:t>
      </w:r>
      <w:r>
        <w:t xml:space="preserve"> </w:t>
      </w:r>
      <w:r w:rsidRPr="00396960">
        <w:t>Professional qualifications, including professional expertise in auditing, economics, accounting, or a closely related field and high standards of moral integrity, independence, and impartiality.</w:t>
      </w:r>
    </w:p>
  </w:footnote>
  <w:footnote w:id="175">
    <w:p w14:paraId="5FFA92D7" w14:textId="77777777" w:rsidR="0040534C" w:rsidRPr="00396960" w:rsidRDefault="0040534C" w:rsidP="00FE3FE5">
      <w:pPr>
        <w:pStyle w:val="FootnoteText"/>
      </w:pPr>
      <w:r w:rsidRPr="00396960">
        <w:rPr>
          <w:rStyle w:val="FootnoteReference"/>
        </w:rPr>
        <w:footnoteRef/>
      </w:r>
      <w:r w:rsidRPr="00396960">
        <w:t xml:space="preserve"> </w:t>
      </w:r>
      <w:r w:rsidRPr="00396960">
        <w:tab/>
        <w:t>2025 Rule of Law Report, Cyprus, p. 18; Figure 63</w:t>
      </w:r>
      <w:r>
        <w:t xml:space="preserve">, </w:t>
      </w:r>
      <w:r w:rsidRPr="00396960">
        <w:t>2025 EU Justice Scoreboard.</w:t>
      </w:r>
    </w:p>
  </w:footnote>
  <w:footnote w:id="176">
    <w:p w14:paraId="2AE020E4" w14:textId="77777777" w:rsidR="0040534C" w:rsidRPr="00396960" w:rsidRDefault="0040534C" w:rsidP="00FE3FE5">
      <w:pPr>
        <w:pStyle w:val="FootnoteText"/>
      </w:pPr>
      <w:r w:rsidRPr="00396960">
        <w:rPr>
          <w:rStyle w:val="FootnoteReference"/>
        </w:rPr>
        <w:footnoteRef/>
      </w:r>
      <w:r w:rsidRPr="00396960">
        <w:t xml:space="preserve"> </w:t>
      </w:r>
      <w:r w:rsidRPr="00396960">
        <w:tab/>
        <w:t>The Audit Office’s annual budget will now be submitted directly to Parliament for approval, separate from the state budget, though the expenditure ceiling will still be set by the Ministry of Finance.</w:t>
      </w:r>
    </w:p>
  </w:footnote>
  <w:footnote w:id="177">
    <w:p w14:paraId="735A9C0C" w14:textId="709C05DA" w:rsidR="0040534C" w:rsidRPr="00396960" w:rsidRDefault="0040534C" w:rsidP="00FE3FE5">
      <w:pPr>
        <w:pStyle w:val="FootnoteText"/>
      </w:pPr>
      <w:r w:rsidRPr="00396960">
        <w:rPr>
          <w:rStyle w:val="FootnoteReference"/>
        </w:rPr>
        <w:footnoteRef/>
      </w:r>
      <w:r w:rsidRPr="00396960">
        <w:t xml:space="preserve"> </w:t>
      </w:r>
      <w:r w:rsidRPr="00396960">
        <w:tab/>
      </w:r>
      <w:r>
        <w:t>T</w:t>
      </w:r>
      <w:r w:rsidRPr="00396960">
        <w:t xml:space="preserve">he Government initially proposed </w:t>
      </w:r>
      <w:r w:rsidRPr="00396960">
        <w:rPr>
          <w:bCs/>
          <w:lang w:eastAsia="fr-FR"/>
        </w:rPr>
        <w:t>to transform the Audit Office into a collegiate body</w:t>
      </w:r>
      <w:r>
        <w:rPr>
          <w:bCs/>
          <w:lang w:eastAsia="fr-FR"/>
        </w:rPr>
        <w:t>, but the</w:t>
      </w:r>
      <w:r w:rsidRPr="00396960">
        <w:rPr>
          <w:bCs/>
          <w:lang w:eastAsia="fr-FR"/>
        </w:rPr>
        <w:t xml:space="preserve"> proposal was revised following </w:t>
      </w:r>
      <w:r w:rsidR="009E1F6C">
        <w:rPr>
          <w:bCs/>
          <w:lang w:eastAsia="fr-FR"/>
        </w:rPr>
        <w:t>the legal opinion</w:t>
      </w:r>
      <w:r w:rsidR="009E1F6C" w:rsidRPr="00396960">
        <w:rPr>
          <w:bCs/>
          <w:lang w:eastAsia="fr-FR"/>
        </w:rPr>
        <w:t xml:space="preserve"> </w:t>
      </w:r>
      <w:r w:rsidRPr="00396960">
        <w:rPr>
          <w:bCs/>
          <w:lang w:eastAsia="fr-FR"/>
        </w:rPr>
        <w:t xml:space="preserve">expressed by the Law Office as to its </w:t>
      </w:r>
      <w:r w:rsidR="008C0282">
        <w:rPr>
          <w:bCs/>
          <w:lang w:eastAsia="fr-FR"/>
        </w:rPr>
        <w:t>non-</w:t>
      </w:r>
      <w:r w:rsidRPr="00396960">
        <w:rPr>
          <w:bCs/>
          <w:lang w:eastAsia="fr-FR"/>
        </w:rPr>
        <w:t>compliance with constitutional provisions</w:t>
      </w:r>
      <w:r>
        <w:rPr>
          <w:bCs/>
          <w:lang w:eastAsia="fr-FR"/>
        </w:rPr>
        <w:t>.</w:t>
      </w:r>
      <w:r w:rsidRPr="00934185">
        <w:t xml:space="preserve"> </w:t>
      </w:r>
      <w:r w:rsidR="00F844A5" w:rsidRPr="00396960">
        <w:t xml:space="preserve">The Auditor General </w:t>
      </w:r>
      <w:r w:rsidR="00F844A5" w:rsidRPr="00396960">
        <w:rPr>
          <w:lang w:bidi="en-US"/>
        </w:rPr>
        <w:t>is not against the transition to a collegial model, provided this would be in line with the Constitution and international practices.</w:t>
      </w:r>
      <w:r w:rsidR="00F844A5" w:rsidRPr="00396960">
        <w:t xml:space="preserve"> Cypriot Government (2026), written input, pp. 11-12.</w:t>
      </w:r>
    </w:p>
  </w:footnote>
  <w:footnote w:id="178">
    <w:p w14:paraId="762174AA" w14:textId="77777777" w:rsidR="0040534C" w:rsidRPr="00396960" w:rsidRDefault="0040534C" w:rsidP="00FE3FE5">
      <w:pPr>
        <w:pStyle w:val="FootnoteText"/>
      </w:pPr>
      <w:r w:rsidRPr="00396960">
        <w:rPr>
          <w:rStyle w:val="FootnoteReference"/>
        </w:rPr>
        <w:footnoteRef/>
      </w:r>
      <w:r w:rsidRPr="00396960">
        <w:t xml:space="preserve"> </w:t>
      </w:r>
      <w:r w:rsidRPr="00396960">
        <w:tab/>
        <w:t>Nomosplatform (2025).</w:t>
      </w:r>
    </w:p>
  </w:footnote>
  <w:footnote w:id="179">
    <w:p w14:paraId="7C8584C8"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Country visit, Cyprus, Audit Office and Civil Society. </w:t>
      </w:r>
    </w:p>
  </w:footnote>
  <w:footnote w:id="180">
    <w:p w14:paraId="2C7E15B5" w14:textId="77777777" w:rsidR="0040534C" w:rsidRPr="00691D40" w:rsidRDefault="0040534C" w:rsidP="00FE3FE5">
      <w:pPr>
        <w:pStyle w:val="FootnoteText"/>
      </w:pPr>
      <w:r w:rsidRPr="00396960">
        <w:rPr>
          <w:rStyle w:val="FootnoteReference"/>
        </w:rPr>
        <w:footnoteRef/>
      </w:r>
      <w:r w:rsidRPr="00396960">
        <w:t xml:space="preserve"> </w:t>
      </w:r>
      <w:r w:rsidRPr="00396960">
        <w:tab/>
        <w:t>See</w:t>
      </w:r>
      <w:r w:rsidRPr="00691D40">
        <w:t xml:space="preserve">, 2024 and 2025 Rule of Law Reports, Cyprus, pp. 13-14 and 18 respectively. </w:t>
      </w:r>
    </w:p>
  </w:footnote>
  <w:footnote w:id="181">
    <w:p w14:paraId="7C138709" w14:textId="77777777" w:rsidR="0040534C" w:rsidRPr="00396960" w:rsidRDefault="0040534C" w:rsidP="00FE3FE5">
      <w:pPr>
        <w:pStyle w:val="FootnoteText"/>
      </w:pPr>
      <w:r w:rsidRPr="00691D40">
        <w:rPr>
          <w:rStyle w:val="FootnoteReference"/>
        </w:rPr>
        <w:footnoteRef/>
      </w:r>
      <w:r w:rsidRPr="00691D40">
        <w:t xml:space="preserve"> </w:t>
      </w:r>
      <w:r w:rsidRPr="00691D40">
        <w:tab/>
        <w:t>See also, 2026 EU Justice Scoreboard, Figures 63 and 64.</w:t>
      </w:r>
    </w:p>
  </w:footnote>
  <w:footnote w:id="182">
    <w:p w14:paraId="1BF930D5" w14:textId="77777777" w:rsidR="0040534C" w:rsidRPr="00396960" w:rsidRDefault="0040534C" w:rsidP="00FE3FE5">
      <w:pPr>
        <w:pStyle w:val="FootnoteText"/>
      </w:pPr>
      <w:r w:rsidRPr="00396960">
        <w:rPr>
          <w:rStyle w:val="FootnoteReference"/>
        </w:rPr>
        <w:footnoteRef/>
      </w:r>
      <w:r w:rsidRPr="00396960">
        <w:t xml:space="preserve"> </w:t>
      </w:r>
      <w:r w:rsidRPr="00396960">
        <w:tab/>
        <w:t>Country visit, Audit Office.</w:t>
      </w:r>
    </w:p>
  </w:footnote>
  <w:footnote w:id="183">
    <w:p w14:paraId="46A08FF3" w14:textId="152CB3A8" w:rsidR="002D051D" w:rsidRPr="00351135" w:rsidRDefault="002D051D">
      <w:pPr>
        <w:pStyle w:val="FootnoteText"/>
        <w:rPr>
          <w:lang w:val="en-IE"/>
        </w:rPr>
      </w:pPr>
      <w:r>
        <w:rPr>
          <w:rStyle w:val="FootnoteReference"/>
        </w:rPr>
        <w:footnoteRef/>
      </w:r>
      <w:r>
        <w:tab/>
        <w:t>Cypriot Government (2026c).</w:t>
      </w:r>
    </w:p>
  </w:footnote>
  <w:footnote w:id="184">
    <w:p w14:paraId="41D31B85" w14:textId="77777777" w:rsidR="0040534C" w:rsidRPr="00715D1C" w:rsidRDefault="0040534C" w:rsidP="00FE3FE5">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 </w:t>
      </w:r>
      <w:r>
        <w:t xml:space="preserve"> </w:t>
      </w:r>
    </w:p>
  </w:footnote>
  <w:footnote w:id="185">
    <w:p w14:paraId="5AD38360" w14:textId="77777777" w:rsidR="0040534C" w:rsidRPr="00715D1C" w:rsidRDefault="0040534C" w:rsidP="00FE3FE5">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 3</w:t>
      </w:r>
      <w:r w:rsidRPr="00715D1C">
        <w:t>.</w:t>
      </w:r>
    </w:p>
  </w:footnote>
  <w:footnote w:id="186">
    <w:p w14:paraId="7F63CD57" w14:textId="77777777" w:rsidR="0040534C" w:rsidRPr="00715D1C" w:rsidRDefault="0040534C" w:rsidP="00FE3FE5">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rsidRPr="00C66D16">
        <w:t xml:space="preserve">21318/12, </w:t>
      </w:r>
      <w:r w:rsidRPr="00C66D16">
        <w:rPr>
          <w:i/>
        </w:rPr>
        <w:t>Danilczuk v. Cyprus</w:t>
      </w:r>
      <w:r w:rsidRPr="00C66D16">
        <w:t xml:space="preserve">, </w:t>
      </w:r>
      <w:r w:rsidRPr="00715D1C">
        <w:t xml:space="preserve">pending implementation since </w:t>
      </w:r>
      <w:r>
        <w:t>2018</w:t>
      </w:r>
      <w:r w:rsidRPr="00715D1C">
        <w:t xml:space="preserve">. </w:t>
      </w:r>
    </w:p>
  </w:footnote>
  <w:footnote w:id="187">
    <w:p w14:paraId="32C99025" w14:textId="77777777" w:rsidR="0040534C" w:rsidRPr="00087412" w:rsidRDefault="0040534C" w:rsidP="00FE3FE5">
      <w:pPr>
        <w:pStyle w:val="FootnoteText"/>
      </w:pPr>
      <w:r>
        <w:rPr>
          <w:rStyle w:val="FootnoteReference"/>
        </w:rPr>
        <w:footnoteRef/>
      </w:r>
      <w:r>
        <w:t xml:space="preserve"> </w:t>
      </w:r>
      <w:r>
        <w:tab/>
        <w:t xml:space="preserve">Council of Europe (2026), </w:t>
      </w:r>
      <w:r w:rsidRPr="00EA3EBB">
        <w:t>p. 1</w:t>
      </w:r>
      <w:r>
        <w:t>62</w:t>
      </w:r>
      <w:r w:rsidRPr="00EA3EBB">
        <w:t>.</w:t>
      </w:r>
      <w:r>
        <w:t xml:space="preserve">  </w:t>
      </w:r>
    </w:p>
  </w:footnote>
  <w:footnote w:id="188">
    <w:p w14:paraId="79ABB9EC" w14:textId="77777777" w:rsidR="0040534C" w:rsidRPr="00715D1C" w:rsidRDefault="0040534C" w:rsidP="00FE3FE5">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89">
    <w:p w14:paraId="4C0894CF" w14:textId="77777777" w:rsidR="0040534C" w:rsidRPr="00396960" w:rsidRDefault="0040534C" w:rsidP="00FE3FE5">
      <w:pPr>
        <w:pStyle w:val="FootnoteText"/>
      </w:pPr>
      <w:r w:rsidRPr="00396960">
        <w:rPr>
          <w:rStyle w:val="FootnoteReference"/>
        </w:rPr>
        <w:footnoteRef/>
      </w:r>
      <w:r w:rsidRPr="00396960">
        <w:t xml:space="preserve"> </w:t>
      </w:r>
      <w:r w:rsidRPr="00396960">
        <w:tab/>
      </w:r>
      <w:r>
        <w:t xml:space="preserve">The score is 75/100. </w:t>
      </w:r>
      <w:r w:rsidRPr="00396960">
        <w:t xml:space="preserve">Rating by </w:t>
      </w:r>
      <w:r>
        <w:t>Civicus</w:t>
      </w:r>
      <w:r w:rsidRPr="00396960">
        <w:t xml:space="preserve"> are on a five-category scale defined as: open, narrowed, obstructed,</w:t>
      </w:r>
      <w:r>
        <w:t xml:space="preserve"> </w:t>
      </w:r>
      <w:r w:rsidRPr="00396960">
        <w:t>repressed and closed.</w:t>
      </w:r>
    </w:p>
  </w:footnote>
  <w:footnote w:id="190">
    <w:p w14:paraId="0041AFA1" w14:textId="77777777" w:rsidR="0040534C" w:rsidRPr="00B617C7" w:rsidRDefault="0040534C" w:rsidP="00FE3FE5">
      <w:pPr>
        <w:pStyle w:val="FootnoteText"/>
      </w:pPr>
      <w:r>
        <w:rPr>
          <w:rStyle w:val="FootnoteReference"/>
        </w:rPr>
        <w:footnoteRef/>
      </w:r>
      <w:r>
        <w:t xml:space="preserve"> </w:t>
      </w:r>
      <w:r>
        <w:tab/>
        <w:t>See also, 2025 Rule of Law Report, Cyprus, p. 19.</w:t>
      </w:r>
    </w:p>
  </w:footnote>
  <w:footnote w:id="191">
    <w:p w14:paraId="72FB7293" w14:textId="77777777" w:rsidR="0040534C" w:rsidRPr="00396960" w:rsidRDefault="0040534C" w:rsidP="00FE3FE5">
      <w:pPr>
        <w:pStyle w:val="FootnoteText"/>
      </w:pPr>
      <w:r w:rsidRPr="00396960">
        <w:rPr>
          <w:rStyle w:val="FootnoteReference"/>
        </w:rPr>
        <w:footnoteRef/>
      </w:r>
      <w:r w:rsidRPr="00396960">
        <w:t xml:space="preserve"> </w:t>
      </w:r>
      <w:r w:rsidRPr="00396960">
        <w:tab/>
        <w:t xml:space="preserve">Cypriot Government (2026), written input, p. 26. </w:t>
      </w:r>
    </w:p>
  </w:footnote>
  <w:footnote w:id="192">
    <w:p w14:paraId="33676F5C" w14:textId="77777777" w:rsidR="0040534C" w:rsidRPr="00396960" w:rsidRDefault="0040534C" w:rsidP="00FE3FE5">
      <w:pPr>
        <w:pStyle w:val="FootnoteText"/>
      </w:pPr>
      <w:r w:rsidRPr="00396960">
        <w:rPr>
          <w:rStyle w:val="FootnoteReference"/>
        </w:rPr>
        <w:footnoteRef/>
      </w:r>
      <w:r w:rsidRPr="00396960">
        <w:t xml:space="preserve"> </w:t>
      </w:r>
      <w:r w:rsidRPr="00396960">
        <w:tab/>
        <w:t>Country visit, Civil Society</w:t>
      </w:r>
      <w:r>
        <w:t>; FRA (2026), written input, pp</w:t>
      </w:r>
      <w:r w:rsidRPr="00396960">
        <w:t xml:space="preserve">. </w:t>
      </w:r>
      <w:r>
        <w:t>3-4.</w:t>
      </w:r>
      <w:r w:rsidRPr="00396960">
        <w:t xml:space="preserve"> </w:t>
      </w:r>
    </w:p>
  </w:footnote>
  <w:footnote w:id="193">
    <w:p w14:paraId="2227EB53" w14:textId="77777777" w:rsidR="0040534C" w:rsidRPr="00D85ED5" w:rsidRDefault="0040534C" w:rsidP="00FE3FE5">
      <w:pPr>
        <w:pStyle w:val="FootnoteText"/>
        <w:rPr>
          <w:lang w:val="en-US"/>
        </w:rPr>
      </w:pPr>
      <w:r>
        <w:rPr>
          <w:rStyle w:val="FootnoteReference"/>
        </w:rPr>
        <w:footnoteRef/>
      </w:r>
      <w:r>
        <w:t xml:space="preserve"> </w:t>
      </w:r>
      <w:r>
        <w:rPr>
          <w:lang w:val="en-US"/>
        </w:rPr>
        <w:tab/>
        <w:t>Supreme Constitutional Court (2025a); KISA (2025); 2023 Rule of Law Report, Cyprus, p. 23; FRA (2026), written input, p. 11.</w:t>
      </w:r>
    </w:p>
  </w:footnote>
  <w:footnote w:id="194">
    <w:p w14:paraId="707B8CE4" w14:textId="77777777" w:rsidR="0040534C" w:rsidRPr="00396960" w:rsidRDefault="0040534C" w:rsidP="00FE3FE5">
      <w:pPr>
        <w:pStyle w:val="FootnoteText"/>
      </w:pPr>
      <w:r w:rsidRPr="00396960">
        <w:rPr>
          <w:rStyle w:val="FootnoteReference"/>
        </w:rPr>
        <w:footnoteRef/>
      </w:r>
      <w:r w:rsidRPr="00396960">
        <w:t xml:space="preserve"> </w:t>
      </w:r>
      <w:r w:rsidRPr="00396960">
        <w:tab/>
        <w:t>Law 151(I)/2025</w:t>
      </w:r>
      <w:r>
        <w:t xml:space="preserve"> was</w:t>
      </w:r>
      <w:r w:rsidRPr="00396960">
        <w:t xml:space="preserve"> </w:t>
      </w:r>
      <w:r>
        <w:t xml:space="preserve">widely </w:t>
      </w:r>
      <w:r w:rsidRPr="00396960">
        <w:t xml:space="preserve">criticised as undermining constitutional rights and enabling disproportionate police powers. </w:t>
      </w:r>
      <w:r>
        <w:t xml:space="preserve">In September 2025, </w:t>
      </w:r>
      <w:r w:rsidRPr="00396960">
        <w:t>OSCE express</w:t>
      </w:r>
      <w:r>
        <w:t>ed</w:t>
      </w:r>
      <w:r w:rsidRPr="00396960">
        <w:t xml:space="preserve"> concerns and made recommendations</w:t>
      </w:r>
      <w:r>
        <w:t>;</w:t>
      </w:r>
      <w:r w:rsidRPr="00396960">
        <w:t xml:space="preserve"> OSCE</w:t>
      </w:r>
      <w:r>
        <w:t xml:space="preserve"> (2025); FRA (2026), written input, pp. 5-6.</w:t>
      </w:r>
    </w:p>
  </w:footnote>
  <w:footnote w:id="195">
    <w:p w14:paraId="4ED8FA71" w14:textId="77777777" w:rsidR="0040534C" w:rsidRPr="00396960" w:rsidRDefault="0040534C" w:rsidP="00FE3FE5">
      <w:pPr>
        <w:pStyle w:val="FootnoteText"/>
      </w:pPr>
      <w:r w:rsidRPr="00396960">
        <w:rPr>
          <w:rStyle w:val="FootnoteReference"/>
        </w:rPr>
        <w:footnoteRef/>
      </w:r>
      <w:r w:rsidRPr="00396960">
        <w:t xml:space="preserve"> </w:t>
      </w:r>
      <w:r w:rsidRPr="00396960">
        <w:tab/>
      </w:r>
      <w:r>
        <w:t>Law</w:t>
      </w:r>
      <w:r w:rsidRPr="002E1F92">
        <w:t xml:space="preserve"> 16(Ι)/2026</w:t>
      </w:r>
      <w:r>
        <w:t xml:space="preserve">. </w:t>
      </w:r>
      <w:r w:rsidRPr="00396960">
        <w:t>Country visit Cyprus, Civil society; Oxygen for democracy (2026), written input, p. 36.</w:t>
      </w:r>
    </w:p>
  </w:footnote>
  <w:footnote w:id="196">
    <w:p w14:paraId="750CA560" w14:textId="0E68A28A" w:rsidR="0040534C" w:rsidRPr="009D74CA" w:rsidRDefault="0040534C" w:rsidP="00FE3FE5">
      <w:pPr>
        <w:pStyle w:val="FootnoteText"/>
      </w:pPr>
      <w:r>
        <w:rPr>
          <w:rStyle w:val="FootnoteReference"/>
        </w:rPr>
        <w:footnoteRef/>
      </w:r>
      <w:r w:rsidR="00AA5112">
        <w:tab/>
      </w:r>
      <w:r>
        <w:t>The Ombudsperson (</w:t>
      </w:r>
      <w:r w:rsidRPr="004B178C">
        <w:t>Commissioner for Administration and the Protection of Human Rights</w:t>
      </w:r>
      <w:r>
        <w:t>) is the national human rights institution, accredited with ‘A’ status by the UN Global Alliance of National Human Rights Institutions. The campaign aimed to raise awareness about journalistic safety and the protection of freedom of expression and to support a safe and independent environment for journalists and the media, strengthening public access to reliable information. Cypriot Government (2026), annex, pp. 23-24.</w:t>
      </w:r>
    </w:p>
  </w:footnote>
  <w:footnote w:id="197">
    <w:p w14:paraId="01315C66" w14:textId="77777777" w:rsidR="0040534C" w:rsidRDefault="0040534C" w:rsidP="00FE3FE5">
      <w:pPr>
        <w:pStyle w:val="FootnoteText"/>
      </w:pPr>
      <w:r w:rsidRPr="00396960">
        <w:rPr>
          <w:rStyle w:val="FootnoteReference"/>
        </w:rPr>
        <w:footnoteRef/>
      </w:r>
      <w:r w:rsidRPr="00396960">
        <w:t xml:space="preserve"> </w:t>
      </w:r>
      <w:r w:rsidRPr="00396960">
        <w:tab/>
        <w:t xml:space="preserve">Cypriot Government (2026), </w:t>
      </w:r>
      <w:r>
        <w:t>annex</w:t>
      </w:r>
      <w:r w:rsidRPr="00396960">
        <w:t xml:space="preserve">, </w:t>
      </w:r>
      <w:r>
        <w:t xml:space="preserve">pp. 33-34; </w:t>
      </w:r>
      <w:r w:rsidRPr="00396960">
        <w:t xml:space="preserve">Country visit Cyprus, Civil society, Law Office, CBA; Oxygen for democracy (2026), written input, p. 52.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0F4DE" w14:textId="77777777" w:rsidR="00855C58" w:rsidRPr="00855C58" w:rsidRDefault="00855C58" w:rsidP="00855C5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37B5" w14:textId="77777777" w:rsidR="00855C58" w:rsidRPr="00855C58" w:rsidRDefault="00855C58" w:rsidP="00855C5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4B993" w14:textId="77777777" w:rsidR="00855C58" w:rsidRPr="00855C58" w:rsidRDefault="00855C58" w:rsidP="00855C5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BFE2F" w14:textId="077ABDFB" w:rsidR="0040534C" w:rsidRPr="00396960" w:rsidRDefault="004053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7638" w14:textId="0AD6FE62" w:rsidR="0040534C" w:rsidRPr="00396960" w:rsidRDefault="0040534C">
    <w:pPr>
      <w:pStyle w:val="Header"/>
      <w:jc w:val="right"/>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D13A7" w14:textId="1F0E6D10" w:rsidR="0040534C" w:rsidRPr="00396960" w:rsidRDefault="004053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4401"/>
    <w:multiLevelType w:val="hybridMultilevel"/>
    <w:tmpl w:val="5AEC9ED8"/>
    <w:lvl w:ilvl="0" w:tplc="5A0C06F6">
      <w:start w:val="1"/>
      <w:numFmt w:val="bullet"/>
      <w:lvlText w:val=""/>
      <w:lvlJc w:val="left"/>
      <w:pPr>
        <w:ind w:left="1440" w:hanging="360"/>
      </w:pPr>
      <w:rPr>
        <w:rFonts w:ascii="Symbol" w:hAnsi="Symbol"/>
      </w:rPr>
    </w:lvl>
    <w:lvl w:ilvl="1" w:tplc="5DB698FC">
      <w:start w:val="1"/>
      <w:numFmt w:val="bullet"/>
      <w:lvlText w:val=""/>
      <w:lvlJc w:val="left"/>
      <w:pPr>
        <w:ind w:left="1440" w:hanging="360"/>
      </w:pPr>
      <w:rPr>
        <w:rFonts w:ascii="Symbol" w:hAnsi="Symbol"/>
      </w:rPr>
    </w:lvl>
    <w:lvl w:ilvl="2" w:tplc="7EC6FECC">
      <w:start w:val="1"/>
      <w:numFmt w:val="bullet"/>
      <w:lvlText w:val=""/>
      <w:lvlJc w:val="left"/>
      <w:pPr>
        <w:ind w:left="1440" w:hanging="360"/>
      </w:pPr>
      <w:rPr>
        <w:rFonts w:ascii="Symbol" w:hAnsi="Symbol"/>
      </w:rPr>
    </w:lvl>
    <w:lvl w:ilvl="3" w:tplc="654C8DD2">
      <w:start w:val="1"/>
      <w:numFmt w:val="bullet"/>
      <w:lvlText w:val=""/>
      <w:lvlJc w:val="left"/>
      <w:pPr>
        <w:ind w:left="1440" w:hanging="360"/>
      </w:pPr>
      <w:rPr>
        <w:rFonts w:ascii="Symbol" w:hAnsi="Symbol"/>
      </w:rPr>
    </w:lvl>
    <w:lvl w:ilvl="4" w:tplc="1BD65A9A">
      <w:start w:val="1"/>
      <w:numFmt w:val="bullet"/>
      <w:lvlText w:val=""/>
      <w:lvlJc w:val="left"/>
      <w:pPr>
        <w:ind w:left="1440" w:hanging="360"/>
      </w:pPr>
      <w:rPr>
        <w:rFonts w:ascii="Symbol" w:hAnsi="Symbol"/>
      </w:rPr>
    </w:lvl>
    <w:lvl w:ilvl="5" w:tplc="3DCAF710">
      <w:start w:val="1"/>
      <w:numFmt w:val="bullet"/>
      <w:lvlText w:val=""/>
      <w:lvlJc w:val="left"/>
      <w:pPr>
        <w:ind w:left="1440" w:hanging="360"/>
      </w:pPr>
      <w:rPr>
        <w:rFonts w:ascii="Symbol" w:hAnsi="Symbol"/>
      </w:rPr>
    </w:lvl>
    <w:lvl w:ilvl="6" w:tplc="D3EC9D0C">
      <w:start w:val="1"/>
      <w:numFmt w:val="bullet"/>
      <w:lvlText w:val=""/>
      <w:lvlJc w:val="left"/>
      <w:pPr>
        <w:ind w:left="1440" w:hanging="360"/>
      </w:pPr>
      <w:rPr>
        <w:rFonts w:ascii="Symbol" w:hAnsi="Symbol"/>
      </w:rPr>
    </w:lvl>
    <w:lvl w:ilvl="7" w:tplc="3B98BC52">
      <w:start w:val="1"/>
      <w:numFmt w:val="bullet"/>
      <w:lvlText w:val=""/>
      <w:lvlJc w:val="left"/>
      <w:pPr>
        <w:ind w:left="1440" w:hanging="360"/>
      </w:pPr>
      <w:rPr>
        <w:rFonts w:ascii="Symbol" w:hAnsi="Symbol"/>
      </w:rPr>
    </w:lvl>
    <w:lvl w:ilvl="8" w:tplc="452E4DBE">
      <w:start w:val="1"/>
      <w:numFmt w:val="bullet"/>
      <w:lvlText w:val=""/>
      <w:lvlJc w:val="left"/>
      <w:pPr>
        <w:ind w:left="1440" w:hanging="360"/>
      </w:pPr>
      <w:rPr>
        <w:rFonts w:ascii="Symbol" w:hAnsi="Symbol"/>
      </w:r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FBA62F6"/>
    <w:multiLevelType w:val="hybridMultilevel"/>
    <w:tmpl w:val="51383F16"/>
    <w:lvl w:ilvl="0" w:tplc="2000000F">
      <w:start w:val="1"/>
      <w:numFmt w:val="decimal"/>
      <w:lvlText w:val="%1."/>
      <w:lvlJc w:val="left"/>
      <w:pPr>
        <w:ind w:left="360" w:hanging="360"/>
      </w:pPr>
    </w:lvl>
    <w:lvl w:ilvl="1" w:tplc="A442F35E">
      <w:start w:val="1"/>
      <w:numFmt w:val="bullet"/>
      <w:lvlText w:val="o"/>
      <w:lvlJc w:val="left"/>
      <w:pPr>
        <w:ind w:left="1080" w:hanging="360"/>
      </w:pPr>
      <w:rPr>
        <w:rFonts w:ascii="Courier New" w:hAnsi="Courier New" w:cs="Courier New" w:hint="default"/>
        <w:color w:val="000000"/>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1" w15:restartNumberingAfterBreak="0">
    <w:nsid w:val="22C10D34"/>
    <w:multiLevelType w:val="hybridMultilevel"/>
    <w:tmpl w:val="4DD437DA"/>
    <w:lvl w:ilvl="0" w:tplc="FF66A418">
      <w:start w:val="1"/>
      <w:numFmt w:val="decimal"/>
      <w:lvlText w:val="%1)"/>
      <w:lvlJc w:val="left"/>
      <w:pPr>
        <w:ind w:left="1020" w:hanging="360"/>
      </w:pPr>
    </w:lvl>
    <w:lvl w:ilvl="1" w:tplc="960E0362">
      <w:start w:val="1"/>
      <w:numFmt w:val="decimal"/>
      <w:lvlText w:val="%2)"/>
      <w:lvlJc w:val="left"/>
      <w:pPr>
        <w:ind w:left="1020" w:hanging="360"/>
      </w:pPr>
    </w:lvl>
    <w:lvl w:ilvl="2" w:tplc="3B548FF6">
      <w:start w:val="1"/>
      <w:numFmt w:val="decimal"/>
      <w:lvlText w:val="%3)"/>
      <w:lvlJc w:val="left"/>
      <w:pPr>
        <w:ind w:left="1020" w:hanging="360"/>
      </w:pPr>
    </w:lvl>
    <w:lvl w:ilvl="3" w:tplc="70DE9174">
      <w:start w:val="1"/>
      <w:numFmt w:val="decimal"/>
      <w:lvlText w:val="%4)"/>
      <w:lvlJc w:val="left"/>
      <w:pPr>
        <w:ind w:left="1020" w:hanging="360"/>
      </w:pPr>
    </w:lvl>
    <w:lvl w:ilvl="4" w:tplc="730E816A">
      <w:start w:val="1"/>
      <w:numFmt w:val="decimal"/>
      <w:lvlText w:val="%5)"/>
      <w:lvlJc w:val="left"/>
      <w:pPr>
        <w:ind w:left="1020" w:hanging="360"/>
      </w:pPr>
    </w:lvl>
    <w:lvl w:ilvl="5" w:tplc="5C58F9A8">
      <w:start w:val="1"/>
      <w:numFmt w:val="decimal"/>
      <w:lvlText w:val="%6)"/>
      <w:lvlJc w:val="left"/>
      <w:pPr>
        <w:ind w:left="1020" w:hanging="360"/>
      </w:pPr>
    </w:lvl>
    <w:lvl w:ilvl="6" w:tplc="25882F20">
      <w:start w:val="1"/>
      <w:numFmt w:val="decimal"/>
      <w:lvlText w:val="%7)"/>
      <w:lvlJc w:val="left"/>
      <w:pPr>
        <w:ind w:left="1020" w:hanging="360"/>
      </w:pPr>
    </w:lvl>
    <w:lvl w:ilvl="7" w:tplc="6F849BE6">
      <w:start w:val="1"/>
      <w:numFmt w:val="decimal"/>
      <w:lvlText w:val="%8)"/>
      <w:lvlJc w:val="left"/>
      <w:pPr>
        <w:ind w:left="1020" w:hanging="360"/>
      </w:pPr>
    </w:lvl>
    <w:lvl w:ilvl="8" w:tplc="37287D3E">
      <w:start w:val="1"/>
      <w:numFmt w:val="decimal"/>
      <w:lvlText w:val="%9)"/>
      <w:lvlJc w:val="left"/>
      <w:pPr>
        <w:ind w:left="1020" w:hanging="360"/>
      </w:pPr>
    </w:lvl>
  </w:abstractNum>
  <w:abstractNum w:abstractNumId="12"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6"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8024AD3"/>
    <w:multiLevelType w:val="hybridMultilevel"/>
    <w:tmpl w:val="7EA05EFA"/>
    <w:lvl w:ilvl="0" w:tplc="2F9A8D96">
      <w:start w:val="1"/>
      <w:numFmt w:val="bullet"/>
      <w:lvlText w:val=""/>
      <w:lvlJc w:val="left"/>
      <w:pPr>
        <w:ind w:left="720" w:hanging="360"/>
      </w:pPr>
      <w:rPr>
        <w:rFonts w:ascii="Symbol" w:hAnsi="Symbol"/>
      </w:rPr>
    </w:lvl>
    <w:lvl w:ilvl="1" w:tplc="2FAC3062">
      <w:start w:val="1"/>
      <w:numFmt w:val="bullet"/>
      <w:lvlText w:val=""/>
      <w:lvlJc w:val="left"/>
      <w:pPr>
        <w:ind w:left="720" w:hanging="360"/>
      </w:pPr>
      <w:rPr>
        <w:rFonts w:ascii="Symbol" w:hAnsi="Symbol"/>
      </w:rPr>
    </w:lvl>
    <w:lvl w:ilvl="2" w:tplc="6E6814A4">
      <w:start w:val="1"/>
      <w:numFmt w:val="bullet"/>
      <w:lvlText w:val=""/>
      <w:lvlJc w:val="left"/>
      <w:pPr>
        <w:ind w:left="720" w:hanging="360"/>
      </w:pPr>
      <w:rPr>
        <w:rFonts w:ascii="Symbol" w:hAnsi="Symbol"/>
      </w:rPr>
    </w:lvl>
    <w:lvl w:ilvl="3" w:tplc="3642F032">
      <w:start w:val="1"/>
      <w:numFmt w:val="bullet"/>
      <w:lvlText w:val=""/>
      <w:lvlJc w:val="left"/>
      <w:pPr>
        <w:ind w:left="720" w:hanging="360"/>
      </w:pPr>
      <w:rPr>
        <w:rFonts w:ascii="Symbol" w:hAnsi="Symbol"/>
      </w:rPr>
    </w:lvl>
    <w:lvl w:ilvl="4" w:tplc="634851DE">
      <w:start w:val="1"/>
      <w:numFmt w:val="bullet"/>
      <w:lvlText w:val=""/>
      <w:lvlJc w:val="left"/>
      <w:pPr>
        <w:ind w:left="720" w:hanging="360"/>
      </w:pPr>
      <w:rPr>
        <w:rFonts w:ascii="Symbol" w:hAnsi="Symbol"/>
      </w:rPr>
    </w:lvl>
    <w:lvl w:ilvl="5" w:tplc="452AB268">
      <w:start w:val="1"/>
      <w:numFmt w:val="bullet"/>
      <w:lvlText w:val=""/>
      <w:lvlJc w:val="left"/>
      <w:pPr>
        <w:ind w:left="720" w:hanging="360"/>
      </w:pPr>
      <w:rPr>
        <w:rFonts w:ascii="Symbol" w:hAnsi="Symbol"/>
      </w:rPr>
    </w:lvl>
    <w:lvl w:ilvl="6" w:tplc="B28E71BA">
      <w:start w:val="1"/>
      <w:numFmt w:val="bullet"/>
      <w:lvlText w:val=""/>
      <w:lvlJc w:val="left"/>
      <w:pPr>
        <w:ind w:left="720" w:hanging="360"/>
      </w:pPr>
      <w:rPr>
        <w:rFonts w:ascii="Symbol" w:hAnsi="Symbol"/>
      </w:rPr>
    </w:lvl>
    <w:lvl w:ilvl="7" w:tplc="8200A6A0">
      <w:start w:val="1"/>
      <w:numFmt w:val="bullet"/>
      <w:lvlText w:val=""/>
      <w:lvlJc w:val="left"/>
      <w:pPr>
        <w:ind w:left="720" w:hanging="360"/>
      </w:pPr>
      <w:rPr>
        <w:rFonts w:ascii="Symbol" w:hAnsi="Symbol"/>
      </w:rPr>
    </w:lvl>
    <w:lvl w:ilvl="8" w:tplc="C486F676">
      <w:start w:val="1"/>
      <w:numFmt w:val="bullet"/>
      <w:lvlText w:val=""/>
      <w:lvlJc w:val="left"/>
      <w:pPr>
        <w:ind w:left="720" w:hanging="360"/>
      </w:pPr>
      <w:rPr>
        <w:rFonts w:ascii="Symbol" w:hAnsi="Symbol"/>
      </w:rPr>
    </w:lvl>
  </w:abstractNum>
  <w:abstractNum w:abstractNumId="22"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B0B6EFA"/>
    <w:multiLevelType w:val="hybridMultilevel"/>
    <w:tmpl w:val="427AC74C"/>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26"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61914D6D"/>
    <w:multiLevelType w:val="hybridMultilevel"/>
    <w:tmpl w:val="6F849AC6"/>
    <w:lvl w:ilvl="0" w:tplc="459CC872">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694D0705"/>
    <w:multiLevelType w:val="hybridMultilevel"/>
    <w:tmpl w:val="FCAA9978"/>
    <w:lvl w:ilvl="0" w:tplc="07C8C518">
      <w:start w:val="1"/>
      <w:numFmt w:val="decimal"/>
      <w:lvlText w:val="%1."/>
      <w:lvlJc w:val="left"/>
      <w:pPr>
        <w:ind w:left="1020" w:hanging="360"/>
      </w:pPr>
    </w:lvl>
    <w:lvl w:ilvl="1" w:tplc="B380B36A">
      <w:start w:val="1"/>
      <w:numFmt w:val="decimal"/>
      <w:lvlText w:val="%2."/>
      <w:lvlJc w:val="left"/>
      <w:pPr>
        <w:ind w:left="1020" w:hanging="360"/>
      </w:pPr>
    </w:lvl>
    <w:lvl w:ilvl="2" w:tplc="9B3CC4B4">
      <w:start w:val="1"/>
      <w:numFmt w:val="decimal"/>
      <w:lvlText w:val="%3."/>
      <w:lvlJc w:val="left"/>
      <w:pPr>
        <w:ind w:left="1020" w:hanging="360"/>
      </w:pPr>
    </w:lvl>
    <w:lvl w:ilvl="3" w:tplc="D53A9E26">
      <w:start w:val="1"/>
      <w:numFmt w:val="decimal"/>
      <w:lvlText w:val="%4."/>
      <w:lvlJc w:val="left"/>
      <w:pPr>
        <w:ind w:left="1020" w:hanging="360"/>
      </w:pPr>
    </w:lvl>
    <w:lvl w:ilvl="4" w:tplc="92184256">
      <w:start w:val="1"/>
      <w:numFmt w:val="decimal"/>
      <w:lvlText w:val="%5."/>
      <w:lvlJc w:val="left"/>
      <w:pPr>
        <w:ind w:left="1020" w:hanging="360"/>
      </w:pPr>
    </w:lvl>
    <w:lvl w:ilvl="5" w:tplc="4D0AE060">
      <w:start w:val="1"/>
      <w:numFmt w:val="decimal"/>
      <w:lvlText w:val="%6."/>
      <w:lvlJc w:val="left"/>
      <w:pPr>
        <w:ind w:left="1020" w:hanging="360"/>
      </w:pPr>
    </w:lvl>
    <w:lvl w:ilvl="6" w:tplc="80D02B26">
      <w:start w:val="1"/>
      <w:numFmt w:val="decimal"/>
      <w:lvlText w:val="%7."/>
      <w:lvlJc w:val="left"/>
      <w:pPr>
        <w:ind w:left="1020" w:hanging="360"/>
      </w:pPr>
    </w:lvl>
    <w:lvl w:ilvl="7" w:tplc="B35C4BA2">
      <w:start w:val="1"/>
      <w:numFmt w:val="decimal"/>
      <w:lvlText w:val="%8."/>
      <w:lvlJc w:val="left"/>
      <w:pPr>
        <w:ind w:left="1020" w:hanging="360"/>
      </w:pPr>
    </w:lvl>
    <w:lvl w:ilvl="8" w:tplc="F7008152">
      <w:start w:val="1"/>
      <w:numFmt w:val="decimal"/>
      <w:lvlText w:val="%9."/>
      <w:lvlJc w:val="left"/>
      <w:pPr>
        <w:ind w:left="1020" w:hanging="360"/>
      </w:pPr>
    </w:lvl>
  </w:abstractNum>
  <w:abstractNum w:abstractNumId="29"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3927B86"/>
    <w:multiLevelType w:val="hybridMultilevel"/>
    <w:tmpl w:val="24308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DF74F2"/>
    <w:multiLevelType w:val="hybridMultilevel"/>
    <w:tmpl w:val="535676C8"/>
    <w:lvl w:ilvl="0" w:tplc="57B4EC5C">
      <w:start w:val="1"/>
      <w:numFmt w:val="decimal"/>
      <w:lvlText w:val="%1."/>
      <w:lvlJc w:val="left"/>
      <w:pPr>
        <w:ind w:left="1020" w:hanging="360"/>
      </w:pPr>
    </w:lvl>
    <w:lvl w:ilvl="1" w:tplc="1BA4ACB2">
      <w:start w:val="1"/>
      <w:numFmt w:val="decimal"/>
      <w:lvlText w:val="%2."/>
      <w:lvlJc w:val="left"/>
      <w:pPr>
        <w:ind w:left="1020" w:hanging="360"/>
      </w:pPr>
    </w:lvl>
    <w:lvl w:ilvl="2" w:tplc="A154C58A">
      <w:start w:val="1"/>
      <w:numFmt w:val="decimal"/>
      <w:lvlText w:val="%3."/>
      <w:lvlJc w:val="left"/>
      <w:pPr>
        <w:ind w:left="1020" w:hanging="360"/>
      </w:pPr>
    </w:lvl>
    <w:lvl w:ilvl="3" w:tplc="E6003DF4">
      <w:start w:val="1"/>
      <w:numFmt w:val="decimal"/>
      <w:lvlText w:val="%4."/>
      <w:lvlJc w:val="left"/>
      <w:pPr>
        <w:ind w:left="1020" w:hanging="360"/>
      </w:pPr>
    </w:lvl>
    <w:lvl w:ilvl="4" w:tplc="27C40D52">
      <w:start w:val="1"/>
      <w:numFmt w:val="decimal"/>
      <w:lvlText w:val="%5."/>
      <w:lvlJc w:val="left"/>
      <w:pPr>
        <w:ind w:left="1020" w:hanging="360"/>
      </w:pPr>
    </w:lvl>
    <w:lvl w:ilvl="5" w:tplc="4D72643E">
      <w:start w:val="1"/>
      <w:numFmt w:val="decimal"/>
      <w:lvlText w:val="%6."/>
      <w:lvlJc w:val="left"/>
      <w:pPr>
        <w:ind w:left="1020" w:hanging="360"/>
      </w:pPr>
    </w:lvl>
    <w:lvl w:ilvl="6" w:tplc="25988CF6">
      <w:start w:val="1"/>
      <w:numFmt w:val="decimal"/>
      <w:lvlText w:val="%7."/>
      <w:lvlJc w:val="left"/>
      <w:pPr>
        <w:ind w:left="1020" w:hanging="360"/>
      </w:pPr>
    </w:lvl>
    <w:lvl w:ilvl="7" w:tplc="25CA1F4A">
      <w:start w:val="1"/>
      <w:numFmt w:val="decimal"/>
      <w:lvlText w:val="%8."/>
      <w:lvlJc w:val="left"/>
      <w:pPr>
        <w:ind w:left="1020" w:hanging="360"/>
      </w:pPr>
    </w:lvl>
    <w:lvl w:ilvl="8" w:tplc="ACB653D2">
      <w:start w:val="1"/>
      <w:numFmt w:val="decimal"/>
      <w:lvlText w:val="%9."/>
      <w:lvlJc w:val="left"/>
      <w:pPr>
        <w:ind w:left="1020" w:hanging="360"/>
      </w:pPr>
    </w:lvl>
  </w:abstractNum>
  <w:abstractNum w:abstractNumId="3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4"/>
  </w:num>
  <w:num w:numId="3">
    <w:abstractNumId w:val="13"/>
  </w:num>
  <w:num w:numId="4">
    <w:abstractNumId w:val="33"/>
  </w:num>
  <w:num w:numId="5">
    <w:abstractNumId w:val="22"/>
  </w:num>
  <w:num w:numId="6">
    <w:abstractNumId w:val="19"/>
  </w:num>
  <w:num w:numId="7">
    <w:abstractNumId w:val="12"/>
  </w:num>
  <w:num w:numId="8">
    <w:abstractNumId w:val="6"/>
  </w:num>
  <w:num w:numId="9">
    <w:abstractNumId w:val="4"/>
  </w:num>
  <w:num w:numId="10">
    <w:abstractNumId w:val="3"/>
  </w:num>
  <w:num w:numId="11">
    <w:abstractNumId w:val="20"/>
  </w:num>
  <w:num w:numId="12">
    <w:abstractNumId w:val="8"/>
  </w:num>
  <w:num w:numId="13">
    <w:abstractNumId w:val="2"/>
  </w:num>
  <w:num w:numId="14">
    <w:abstractNumId w:val="29"/>
  </w:num>
  <w:num w:numId="15">
    <w:abstractNumId w:val="24"/>
  </w:num>
  <w:num w:numId="16">
    <w:abstractNumId w:val="17"/>
  </w:num>
  <w:num w:numId="17">
    <w:abstractNumId w:val="9"/>
  </w:num>
  <w:num w:numId="18">
    <w:abstractNumId w:val="16"/>
  </w:num>
  <w:num w:numId="19">
    <w:abstractNumId w:val="1"/>
  </w:num>
  <w:num w:numId="20">
    <w:abstractNumId w:val="15"/>
  </w:num>
  <w:num w:numId="21">
    <w:abstractNumId w:val="7"/>
  </w:num>
  <w:num w:numId="22">
    <w:abstractNumId w:val="18"/>
  </w:num>
  <w:num w:numId="23">
    <w:abstractNumId w:val="30"/>
  </w:num>
  <w:num w:numId="24">
    <w:abstractNumId w:val="23"/>
  </w:num>
  <w:num w:numId="25">
    <w:abstractNumId w:val="26"/>
  </w:num>
  <w:num w:numId="26">
    <w:abstractNumId w:val="0"/>
  </w:num>
  <w:num w:numId="27">
    <w:abstractNumId w:val="31"/>
  </w:num>
  <w:num w:numId="28">
    <w:abstractNumId w:val="10"/>
    <w:lvlOverride w:ilvl="0">
      <w:startOverride w:val="1"/>
    </w:lvlOverride>
    <w:lvlOverride w:ilvl="1"/>
    <w:lvlOverride w:ilvl="2"/>
    <w:lvlOverride w:ilvl="3"/>
    <w:lvlOverride w:ilvl="4"/>
    <w:lvlOverride w:ilvl="5"/>
    <w:lvlOverride w:ilvl="6"/>
    <w:lvlOverride w:ilvl="7"/>
    <w:lvlOverride w:ilvl="8"/>
  </w:num>
  <w:num w:numId="29">
    <w:abstractNumId w:val="28"/>
  </w:num>
  <w:num w:numId="30">
    <w:abstractNumId w:val="11"/>
  </w:num>
  <w:num w:numId="31">
    <w:abstractNumId w:val="32"/>
  </w:num>
  <w:num w:numId="32">
    <w:abstractNumId w:val="21"/>
  </w:num>
  <w:num w:numId="33">
    <w:abstractNumId w:val="25"/>
  </w:num>
  <w:num w:numId="34">
    <w:abstractNumId w:val="27"/>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9FF88D2B-9915-4A2E-A76D-C22ED4A8C057"/>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b_Country Chapter on the rule of law situation in Cyprus"/>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19FE"/>
    <w:rsid w:val="00001AEE"/>
    <w:rsid w:val="00002083"/>
    <w:rsid w:val="0000408D"/>
    <w:rsid w:val="000066D1"/>
    <w:rsid w:val="00006F95"/>
    <w:rsid w:val="00011207"/>
    <w:rsid w:val="00011664"/>
    <w:rsid w:val="00011962"/>
    <w:rsid w:val="00013669"/>
    <w:rsid w:val="0001662C"/>
    <w:rsid w:val="00017618"/>
    <w:rsid w:val="0002126B"/>
    <w:rsid w:val="00024DD4"/>
    <w:rsid w:val="00025B57"/>
    <w:rsid w:val="00027184"/>
    <w:rsid w:val="00031A52"/>
    <w:rsid w:val="000363A5"/>
    <w:rsid w:val="0003781B"/>
    <w:rsid w:val="00040019"/>
    <w:rsid w:val="000416F3"/>
    <w:rsid w:val="000423DD"/>
    <w:rsid w:val="0004427F"/>
    <w:rsid w:val="000445B7"/>
    <w:rsid w:val="00044D63"/>
    <w:rsid w:val="0004548C"/>
    <w:rsid w:val="00045898"/>
    <w:rsid w:val="00045D23"/>
    <w:rsid w:val="00047278"/>
    <w:rsid w:val="000473B3"/>
    <w:rsid w:val="00051914"/>
    <w:rsid w:val="000640C3"/>
    <w:rsid w:val="00064345"/>
    <w:rsid w:val="000659AB"/>
    <w:rsid w:val="00066FAF"/>
    <w:rsid w:val="00074259"/>
    <w:rsid w:val="000747A6"/>
    <w:rsid w:val="0008206C"/>
    <w:rsid w:val="000830E3"/>
    <w:rsid w:val="00084EBD"/>
    <w:rsid w:val="00087304"/>
    <w:rsid w:val="000875DA"/>
    <w:rsid w:val="000925C2"/>
    <w:rsid w:val="0009289A"/>
    <w:rsid w:val="00093FE5"/>
    <w:rsid w:val="00097198"/>
    <w:rsid w:val="000A0258"/>
    <w:rsid w:val="000A0E4E"/>
    <w:rsid w:val="000A0F2F"/>
    <w:rsid w:val="000A122C"/>
    <w:rsid w:val="000A28A1"/>
    <w:rsid w:val="000A68DD"/>
    <w:rsid w:val="000A70E9"/>
    <w:rsid w:val="000B544F"/>
    <w:rsid w:val="000B6FDB"/>
    <w:rsid w:val="000B79DF"/>
    <w:rsid w:val="000C0C7C"/>
    <w:rsid w:val="000C1E90"/>
    <w:rsid w:val="000C5963"/>
    <w:rsid w:val="000C624C"/>
    <w:rsid w:val="000D0C4F"/>
    <w:rsid w:val="000D0E49"/>
    <w:rsid w:val="000D31FA"/>
    <w:rsid w:val="000D3F33"/>
    <w:rsid w:val="000D6464"/>
    <w:rsid w:val="000D66F4"/>
    <w:rsid w:val="000D7030"/>
    <w:rsid w:val="000D72DB"/>
    <w:rsid w:val="000E028B"/>
    <w:rsid w:val="000E12F0"/>
    <w:rsid w:val="000E1C3E"/>
    <w:rsid w:val="000E5122"/>
    <w:rsid w:val="000E5464"/>
    <w:rsid w:val="000E6853"/>
    <w:rsid w:val="000E6DDB"/>
    <w:rsid w:val="000E7120"/>
    <w:rsid w:val="000E72FD"/>
    <w:rsid w:val="000E7896"/>
    <w:rsid w:val="000E7F70"/>
    <w:rsid w:val="000F096A"/>
    <w:rsid w:val="000F0EDB"/>
    <w:rsid w:val="000F12E8"/>
    <w:rsid w:val="000F17B2"/>
    <w:rsid w:val="000F235C"/>
    <w:rsid w:val="000F3748"/>
    <w:rsid w:val="000F4EDD"/>
    <w:rsid w:val="000F6D6D"/>
    <w:rsid w:val="00101251"/>
    <w:rsid w:val="00102058"/>
    <w:rsid w:val="0010211D"/>
    <w:rsid w:val="001027A7"/>
    <w:rsid w:val="0010590B"/>
    <w:rsid w:val="0010715D"/>
    <w:rsid w:val="0011290D"/>
    <w:rsid w:val="00113608"/>
    <w:rsid w:val="001140DB"/>
    <w:rsid w:val="00115114"/>
    <w:rsid w:val="00115DBE"/>
    <w:rsid w:val="001216C9"/>
    <w:rsid w:val="00123658"/>
    <w:rsid w:val="00125958"/>
    <w:rsid w:val="00125975"/>
    <w:rsid w:val="00125F71"/>
    <w:rsid w:val="001263D6"/>
    <w:rsid w:val="00130FD1"/>
    <w:rsid w:val="00135962"/>
    <w:rsid w:val="001365CB"/>
    <w:rsid w:val="001374D6"/>
    <w:rsid w:val="001403DF"/>
    <w:rsid w:val="00140F22"/>
    <w:rsid w:val="001418DB"/>
    <w:rsid w:val="00142BD4"/>
    <w:rsid w:val="00143A78"/>
    <w:rsid w:val="00143ACC"/>
    <w:rsid w:val="00143B49"/>
    <w:rsid w:val="00146E55"/>
    <w:rsid w:val="00147F6E"/>
    <w:rsid w:val="00152E38"/>
    <w:rsid w:val="00152EB9"/>
    <w:rsid w:val="0015499E"/>
    <w:rsid w:val="00154A40"/>
    <w:rsid w:val="00154EB8"/>
    <w:rsid w:val="0015558D"/>
    <w:rsid w:val="00157AFD"/>
    <w:rsid w:val="00163BE6"/>
    <w:rsid w:val="00170C28"/>
    <w:rsid w:val="00172B14"/>
    <w:rsid w:val="00174FA3"/>
    <w:rsid w:val="001764A5"/>
    <w:rsid w:val="001773AE"/>
    <w:rsid w:val="00177C90"/>
    <w:rsid w:val="00180024"/>
    <w:rsid w:val="00180C84"/>
    <w:rsid w:val="001818AF"/>
    <w:rsid w:val="00181927"/>
    <w:rsid w:val="00181BD2"/>
    <w:rsid w:val="00185332"/>
    <w:rsid w:val="00186380"/>
    <w:rsid w:val="001913DE"/>
    <w:rsid w:val="00196425"/>
    <w:rsid w:val="001971B5"/>
    <w:rsid w:val="001A0D3C"/>
    <w:rsid w:val="001A1215"/>
    <w:rsid w:val="001A2885"/>
    <w:rsid w:val="001A35AB"/>
    <w:rsid w:val="001A3E9D"/>
    <w:rsid w:val="001A404C"/>
    <w:rsid w:val="001B0B8F"/>
    <w:rsid w:val="001B1F5D"/>
    <w:rsid w:val="001B2A3D"/>
    <w:rsid w:val="001C004F"/>
    <w:rsid w:val="001C04FF"/>
    <w:rsid w:val="001C19A4"/>
    <w:rsid w:val="001C2FF9"/>
    <w:rsid w:val="001C5094"/>
    <w:rsid w:val="001C55C3"/>
    <w:rsid w:val="001C7B18"/>
    <w:rsid w:val="001D2E20"/>
    <w:rsid w:val="001D6874"/>
    <w:rsid w:val="001D7135"/>
    <w:rsid w:val="001E1682"/>
    <w:rsid w:val="001E1944"/>
    <w:rsid w:val="001E49BC"/>
    <w:rsid w:val="001E77F0"/>
    <w:rsid w:val="001F2AEE"/>
    <w:rsid w:val="001F3BCB"/>
    <w:rsid w:val="001F4AA9"/>
    <w:rsid w:val="001F53A6"/>
    <w:rsid w:val="002011CE"/>
    <w:rsid w:val="00201DB3"/>
    <w:rsid w:val="0020485E"/>
    <w:rsid w:val="00206C5B"/>
    <w:rsid w:val="002149E3"/>
    <w:rsid w:val="0022236A"/>
    <w:rsid w:val="00222AAA"/>
    <w:rsid w:val="00227F08"/>
    <w:rsid w:val="00230B73"/>
    <w:rsid w:val="00231427"/>
    <w:rsid w:val="00231E84"/>
    <w:rsid w:val="002341EE"/>
    <w:rsid w:val="00234545"/>
    <w:rsid w:val="00235A11"/>
    <w:rsid w:val="00237717"/>
    <w:rsid w:val="00237A70"/>
    <w:rsid w:val="00240A4D"/>
    <w:rsid w:val="0024147E"/>
    <w:rsid w:val="00242BF4"/>
    <w:rsid w:val="00245DB3"/>
    <w:rsid w:val="00245F9F"/>
    <w:rsid w:val="00247898"/>
    <w:rsid w:val="00253B51"/>
    <w:rsid w:val="0025418C"/>
    <w:rsid w:val="002545B7"/>
    <w:rsid w:val="00260474"/>
    <w:rsid w:val="002606B9"/>
    <w:rsid w:val="00261747"/>
    <w:rsid w:val="002657C7"/>
    <w:rsid w:val="0026661F"/>
    <w:rsid w:val="00267169"/>
    <w:rsid w:val="00275E9B"/>
    <w:rsid w:val="002859F3"/>
    <w:rsid w:val="002878BF"/>
    <w:rsid w:val="00292B39"/>
    <w:rsid w:val="00293832"/>
    <w:rsid w:val="00294021"/>
    <w:rsid w:val="002951C8"/>
    <w:rsid w:val="00295BBA"/>
    <w:rsid w:val="00296E89"/>
    <w:rsid w:val="0029796F"/>
    <w:rsid w:val="002A4132"/>
    <w:rsid w:val="002B0429"/>
    <w:rsid w:val="002B1283"/>
    <w:rsid w:val="002B1EB1"/>
    <w:rsid w:val="002B2CDF"/>
    <w:rsid w:val="002C00BF"/>
    <w:rsid w:val="002C116D"/>
    <w:rsid w:val="002C1909"/>
    <w:rsid w:val="002C5FD6"/>
    <w:rsid w:val="002C6D7F"/>
    <w:rsid w:val="002D051D"/>
    <w:rsid w:val="002D1A3D"/>
    <w:rsid w:val="002D2EBD"/>
    <w:rsid w:val="002D3503"/>
    <w:rsid w:val="002D4212"/>
    <w:rsid w:val="002D56DF"/>
    <w:rsid w:val="002D6100"/>
    <w:rsid w:val="002E0EE3"/>
    <w:rsid w:val="002E2BBF"/>
    <w:rsid w:val="002E421A"/>
    <w:rsid w:val="002E463B"/>
    <w:rsid w:val="002F0541"/>
    <w:rsid w:val="002F0A9A"/>
    <w:rsid w:val="002F13CF"/>
    <w:rsid w:val="002F3477"/>
    <w:rsid w:val="002F428E"/>
    <w:rsid w:val="002F47D0"/>
    <w:rsid w:val="002F4AB4"/>
    <w:rsid w:val="002F69BD"/>
    <w:rsid w:val="002F6DC7"/>
    <w:rsid w:val="00300EDC"/>
    <w:rsid w:val="00301CAA"/>
    <w:rsid w:val="00303B81"/>
    <w:rsid w:val="0030654C"/>
    <w:rsid w:val="0030784B"/>
    <w:rsid w:val="00307E49"/>
    <w:rsid w:val="00315D8E"/>
    <w:rsid w:val="00316982"/>
    <w:rsid w:val="00317071"/>
    <w:rsid w:val="003173E3"/>
    <w:rsid w:val="003205A8"/>
    <w:rsid w:val="0032238D"/>
    <w:rsid w:val="003225E4"/>
    <w:rsid w:val="00322A07"/>
    <w:rsid w:val="00322D67"/>
    <w:rsid w:val="00331EDF"/>
    <w:rsid w:val="00333031"/>
    <w:rsid w:val="00335707"/>
    <w:rsid w:val="00335D08"/>
    <w:rsid w:val="00335D0D"/>
    <w:rsid w:val="00340244"/>
    <w:rsid w:val="00341DBB"/>
    <w:rsid w:val="00345598"/>
    <w:rsid w:val="00346860"/>
    <w:rsid w:val="00351135"/>
    <w:rsid w:val="00352E92"/>
    <w:rsid w:val="00353529"/>
    <w:rsid w:val="00353899"/>
    <w:rsid w:val="0035411C"/>
    <w:rsid w:val="003560B3"/>
    <w:rsid w:val="0035750D"/>
    <w:rsid w:val="00361B4F"/>
    <w:rsid w:val="003629EF"/>
    <w:rsid w:val="0036479A"/>
    <w:rsid w:val="003673AA"/>
    <w:rsid w:val="00367BD0"/>
    <w:rsid w:val="00374122"/>
    <w:rsid w:val="00384835"/>
    <w:rsid w:val="00384F22"/>
    <w:rsid w:val="00385740"/>
    <w:rsid w:val="00387447"/>
    <w:rsid w:val="003877AE"/>
    <w:rsid w:val="00387835"/>
    <w:rsid w:val="00387ADE"/>
    <w:rsid w:val="003A147C"/>
    <w:rsid w:val="003A30B3"/>
    <w:rsid w:val="003B0693"/>
    <w:rsid w:val="003B0E30"/>
    <w:rsid w:val="003B632E"/>
    <w:rsid w:val="003B637F"/>
    <w:rsid w:val="003C1295"/>
    <w:rsid w:val="003C33D9"/>
    <w:rsid w:val="003C647D"/>
    <w:rsid w:val="003C7696"/>
    <w:rsid w:val="003C7F6B"/>
    <w:rsid w:val="003D0854"/>
    <w:rsid w:val="003D4011"/>
    <w:rsid w:val="003D45E4"/>
    <w:rsid w:val="003E0BBB"/>
    <w:rsid w:val="003E1B85"/>
    <w:rsid w:val="003E2159"/>
    <w:rsid w:val="003E23F9"/>
    <w:rsid w:val="003E286C"/>
    <w:rsid w:val="003E2A04"/>
    <w:rsid w:val="003E4260"/>
    <w:rsid w:val="003E46A4"/>
    <w:rsid w:val="003E56DF"/>
    <w:rsid w:val="003E59C2"/>
    <w:rsid w:val="003F0B4A"/>
    <w:rsid w:val="003F0DA7"/>
    <w:rsid w:val="003F0EE8"/>
    <w:rsid w:val="003F0F42"/>
    <w:rsid w:val="003F6377"/>
    <w:rsid w:val="003F6C9D"/>
    <w:rsid w:val="003F6DB5"/>
    <w:rsid w:val="00400F96"/>
    <w:rsid w:val="00402C48"/>
    <w:rsid w:val="00402CA3"/>
    <w:rsid w:val="0040534C"/>
    <w:rsid w:val="00405774"/>
    <w:rsid w:val="00406FCD"/>
    <w:rsid w:val="00412C41"/>
    <w:rsid w:val="0041413C"/>
    <w:rsid w:val="0041442E"/>
    <w:rsid w:val="0041609A"/>
    <w:rsid w:val="00417916"/>
    <w:rsid w:val="00420021"/>
    <w:rsid w:val="004203F8"/>
    <w:rsid w:val="0042153B"/>
    <w:rsid w:val="00422D3A"/>
    <w:rsid w:val="00423788"/>
    <w:rsid w:val="00431E5D"/>
    <w:rsid w:val="00432DC6"/>
    <w:rsid w:val="00432FC4"/>
    <w:rsid w:val="00433243"/>
    <w:rsid w:val="00440706"/>
    <w:rsid w:val="00441273"/>
    <w:rsid w:val="00441F66"/>
    <w:rsid w:val="004429A6"/>
    <w:rsid w:val="00442CEF"/>
    <w:rsid w:val="00450185"/>
    <w:rsid w:val="00453B63"/>
    <w:rsid w:val="00454627"/>
    <w:rsid w:val="00455A0C"/>
    <w:rsid w:val="0045785B"/>
    <w:rsid w:val="00460E89"/>
    <w:rsid w:val="00462D04"/>
    <w:rsid w:val="00464282"/>
    <w:rsid w:val="004706D3"/>
    <w:rsid w:val="00470E33"/>
    <w:rsid w:val="004752E1"/>
    <w:rsid w:val="00480D8C"/>
    <w:rsid w:val="00482A33"/>
    <w:rsid w:val="004841C3"/>
    <w:rsid w:val="0048557B"/>
    <w:rsid w:val="00487494"/>
    <w:rsid w:val="0049137B"/>
    <w:rsid w:val="004914AB"/>
    <w:rsid w:val="00492F69"/>
    <w:rsid w:val="00495113"/>
    <w:rsid w:val="004956E2"/>
    <w:rsid w:val="004A09E3"/>
    <w:rsid w:val="004A1378"/>
    <w:rsid w:val="004A16A8"/>
    <w:rsid w:val="004A1A90"/>
    <w:rsid w:val="004A3D13"/>
    <w:rsid w:val="004B0111"/>
    <w:rsid w:val="004B0D7F"/>
    <w:rsid w:val="004B3C1E"/>
    <w:rsid w:val="004B46DA"/>
    <w:rsid w:val="004B4C59"/>
    <w:rsid w:val="004B6818"/>
    <w:rsid w:val="004B7AA4"/>
    <w:rsid w:val="004C0A6B"/>
    <w:rsid w:val="004C6067"/>
    <w:rsid w:val="004C6520"/>
    <w:rsid w:val="004C7D3A"/>
    <w:rsid w:val="004D0E53"/>
    <w:rsid w:val="004E049C"/>
    <w:rsid w:val="004E0552"/>
    <w:rsid w:val="004E0655"/>
    <w:rsid w:val="004E1A6E"/>
    <w:rsid w:val="004E1F79"/>
    <w:rsid w:val="004E3577"/>
    <w:rsid w:val="004E443E"/>
    <w:rsid w:val="004E5CF5"/>
    <w:rsid w:val="004E6A42"/>
    <w:rsid w:val="004E6FCD"/>
    <w:rsid w:val="004F1662"/>
    <w:rsid w:val="004F2116"/>
    <w:rsid w:val="004F3EFC"/>
    <w:rsid w:val="004F418B"/>
    <w:rsid w:val="004F4445"/>
    <w:rsid w:val="004F4AEC"/>
    <w:rsid w:val="004F51D0"/>
    <w:rsid w:val="0050019C"/>
    <w:rsid w:val="0050477E"/>
    <w:rsid w:val="00504968"/>
    <w:rsid w:val="00504E57"/>
    <w:rsid w:val="00513CBF"/>
    <w:rsid w:val="00514C57"/>
    <w:rsid w:val="00517E7C"/>
    <w:rsid w:val="0052271D"/>
    <w:rsid w:val="00522C79"/>
    <w:rsid w:val="0052516A"/>
    <w:rsid w:val="00525C88"/>
    <w:rsid w:val="0053136E"/>
    <w:rsid w:val="00531ABE"/>
    <w:rsid w:val="00534851"/>
    <w:rsid w:val="0053543C"/>
    <w:rsid w:val="00535D66"/>
    <w:rsid w:val="00541896"/>
    <w:rsid w:val="005440F6"/>
    <w:rsid w:val="00544CFF"/>
    <w:rsid w:val="00545FB9"/>
    <w:rsid w:val="00546CDA"/>
    <w:rsid w:val="00552424"/>
    <w:rsid w:val="00552C6A"/>
    <w:rsid w:val="00554C8B"/>
    <w:rsid w:val="005557FD"/>
    <w:rsid w:val="00556D44"/>
    <w:rsid w:val="00557556"/>
    <w:rsid w:val="00557A12"/>
    <w:rsid w:val="00557DEB"/>
    <w:rsid w:val="0056079A"/>
    <w:rsid w:val="00560C14"/>
    <w:rsid w:val="00561550"/>
    <w:rsid w:val="00562449"/>
    <w:rsid w:val="005624E7"/>
    <w:rsid w:val="00562E10"/>
    <w:rsid w:val="0056306C"/>
    <w:rsid w:val="00563ADD"/>
    <w:rsid w:val="00570342"/>
    <w:rsid w:val="005747BB"/>
    <w:rsid w:val="00575D7A"/>
    <w:rsid w:val="005765D9"/>
    <w:rsid w:val="005823DE"/>
    <w:rsid w:val="00583F77"/>
    <w:rsid w:val="005841EB"/>
    <w:rsid w:val="005862D6"/>
    <w:rsid w:val="0059035D"/>
    <w:rsid w:val="00590A22"/>
    <w:rsid w:val="005934D3"/>
    <w:rsid w:val="00594062"/>
    <w:rsid w:val="00595C60"/>
    <w:rsid w:val="00597C79"/>
    <w:rsid w:val="005A0CA4"/>
    <w:rsid w:val="005A259C"/>
    <w:rsid w:val="005A39A2"/>
    <w:rsid w:val="005A507B"/>
    <w:rsid w:val="005A56F9"/>
    <w:rsid w:val="005B0604"/>
    <w:rsid w:val="005B13BF"/>
    <w:rsid w:val="005B5621"/>
    <w:rsid w:val="005C0060"/>
    <w:rsid w:val="005C1107"/>
    <w:rsid w:val="005C24A1"/>
    <w:rsid w:val="005C2ADD"/>
    <w:rsid w:val="005C2D7B"/>
    <w:rsid w:val="005C5011"/>
    <w:rsid w:val="005C50A0"/>
    <w:rsid w:val="005C66DA"/>
    <w:rsid w:val="005C7921"/>
    <w:rsid w:val="005D020B"/>
    <w:rsid w:val="005D18ED"/>
    <w:rsid w:val="005D1F38"/>
    <w:rsid w:val="005D21C4"/>
    <w:rsid w:val="005D222D"/>
    <w:rsid w:val="005D2C27"/>
    <w:rsid w:val="005D3101"/>
    <w:rsid w:val="005D4F40"/>
    <w:rsid w:val="005D4FB1"/>
    <w:rsid w:val="005E14C7"/>
    <w:rsid w:val="005E1539"/>
    <w:rsid w:val="005E3C4A"/>
    <w:rsid w:val="005E3D3D"/>
    <w:rsid w:val="005E6705"/>
    <w:rsid w:val="005E7668"/>
    <w:rsid w:val="005E7AC0"/>
    <w:rsid w:val="005F0AB4"/>
    <w:rsid w:val="005F5C50"/>
    <w:rsid w:val="005F7AAD"/>
    <w:rsid w:val="00604330"/>
    <w:rsid w:val="00604E23"/>
    <w:rsid w:val="006125FF"/>
    <w:rsid w:val="006127EF"/>
    <w:rsid w:val="00612D1C"/>
    <w:rsid w:val="00613A67"/>
    <w:rsid w:val="006141EA"/>
    <w:rsid w:val="00620011"/>
    <w:rsid w:val="00620C1A"/>
    <w:rsid w:val="006242EA"/>
    <w:rsid w:val="0062591D"/>
    <w:rsid w:val="00632731"/>
    <w:rsid w:val="00633189"/>
    <w:rsid w:val="00634185"/>
    <w:rsid w:val="00643077"/>
    <w:rsid w:val="006462E9"/>
    <w:rsid w:val="006465E3"/>
    <w:rsid w:val="0065411B"/>
    <w:rsid w:val="006545F9"/>
    <w:rsid w:val="006558EC"/>
    <w:rsid w:val="00656F5E"/>
    <w:rsid w:val="00657A56"/>
    <w:rsid w:val="006603B9"/>
    <w:rsid w:val="00665CEB"/>
    <w:rsid w:val="00670A3D"/>
    <w:rsid w:val="00670EAC"/>
    <w:rsid w:val="006713BA"/>
    <w:rsid w:val="006720BA"/>
    <w:rsid w:val="006728A4"/>
    <w:rsid w:val="006730CF"/>
    <w:rsid w:val="0067324C"/>
    <w:rsid w:val="006747F4"/>
    <w:rsid w:val="0067558F"/>
    <w:rsid w:val="00675E87"/>
    <w:rsid w:val="006765A3"/>
    <w:rsid w:val="00677555"/>
    <w:rsid w:val="00680173"/>
    <w:rsid w:val="006811DD"/>
    <w:rsid w:val="00682C9D"/>
    <w:rsid w:val="0068306F"/>
    <w:rsid w:val="0068473D"/>
    <w:rsid w:val="00685E12"/>
    <w:rsid w:val="0069092F"/>
    <w:rsid w:val="006A22BB"/>
    <w:rsid w:val="006A25F8"/>
    <w:rsid w:val="006A297B"/>
    <w:rsid w:val="006A2994"/>
    <w:rsid w:val="006B2655"/>
    <w:rsid w:val="006B59DB"/>
    <w:rsid w:val="006B6B51"/>
    <w:rsid w:val="006B768C"/>
    <w:rsid w:val="006C0C4F"/>
    <w:rsid w:val="006C4ED6"/>
    <w:rsid w:val="006C6754"/>
    <w:rsid w:val="006C6961"/>
    <w:rsid w:val="006C7A48"/>
    <w:rsid w:val="006C7FAA"/>
    <w:rsid w:val="006D1807"/>
    <w:rsid w:val="006D329E"/>
    <w:rsid w:val="006E1D33"/>
    <w:rsid w:val="006E2749"/>
    <w:rsid w:val="006E3C56"/>
    <w:rsid w:val="006E613C"/>
    <w:rsid w:val="006E676A"/>
    <w:rsid w:val="006E7240"/>
    <w:rsid w:val="006F2C84"/>
    <w:rsid w:val="006F2E12"/>
    <w:rsid w:val="006F36B6"/>
    <w:rsid w:val="006F4294"/>
    <w:rsid w:val="006F4CB7"/>
    <w:rsid w:val="006F4F8C"/>
    <w:rsid w:val="006F7FFA"/>
    <w:rsid w:val="007000F1"/>
    <w:rsid w:val="00704522"/>
    <w:rsid w:val="00705005"/>
    <w:rsid w:val="00705EEF"/>
    <w:rsid w:val="00706034"/>
    <w:rsid w:val="00706522"/>
    <w:rsid w:val="0070692A"/>
    <w:rsid w:val="007143C1"/>
    <w:rsid w:val="00715919"/>
    <w:rsid w:val="007169A9"/>
    <w:rsid w:val="007171EA"/>
    <w:rsid w:val="007201CF"/>
    <w:rsid w:val="00720A24"/>
    <w:rsid w:val="007231D4"/>
    <w:rsid w:val="007239B7"/>
    <w:rsid w:val="00726FF3"/>
    <w:rsid w:val="00727161"/>
    <w:rsid w:val="007273D2"/>
    <w:rsid w:val="007277BA"/>
    <w:rsid w:val="00733EF7"/>
    <w:rsid w:val="0073543A"/>
    <w:rsid w:val="00737A40"/>
    <w:rsid w:val="00740773"/>
    <w:rsid w:val="00740A43"/>
    <w:rsid w:val="007410F8"/>
    <w:rsid w:val="007419C2"/>
    <w:rsid w:val="00750FB7"/>
    <w:rsid w:val="00753F80"/>
    <w:rsid w:val="00754922"/>
    <w:rsid w:val="0075580C"/>
    <w:rsid w:val="00756AEE"/>
    <w:rsid w:val="00757085"/>
    <w:rsid w:val="00757D8A"/>
    <w:rsid w:val="00761EF7"/>
    <w:rsid w:val="00764AFB"/>
    <w:rsid w:val="00766570"/>
    <w:rsid w:val="00771415"/>
    <w:rsid w:val="0077491D"/>
    <w:rsid w:val="00775008"/>
    <w:rsid w:val="00775188"/>
    <w:rsid w:val="0077762A"/>
    <w:rsid w:val="00777CEF"/>
    <w:rsid w:val="00781388"/>
    <w:rsid w:val="00783E31"/>
    <w:rsid w:val="00790ECD"/>
    <w:rsid w:val="007915A0"/>
    <w:rsid w:val="00792579"/>
    <w:rsid w:val="00793F8D"/>
    <w:rsid w:val="007A0217"/>
    <w:rsid w:val="007A766A"/>
    <w:rsid w:val="007B1DB7"/>
    <w:rsid w:val="007B2FE1"/>
    <w:rsid w:val="007B3B83"/>
    <w:rsid w:val="007C09D1"/>
    <w:rsid w:val="007C17D3"/>
    <w:rsid w:val="007C5F7C"/>
    <w:rsid w:val="007C74B6"/>
    <w:rsid w:val="007D0B1E"/>
    <w:rsid w:val="007D136F"/>
    <w:rsid w:val="007D2EF4"/>
    <w:rsid w:val="007D55C4"/>
    <w:rsid w:val="007E0454"/>
    <w:rsid w:val="007E09C4"/>
    <w:rsid w:val="007E1B6D"/>
    <w:rsid w:val="007E4658"/>
    <w:rsid w:val="007E663A"/>
    <w:rsid w:val="007E6CC4"/>
    <w:rsid w:val="007F0710"/>
    <w:rsid w:val="007F094A"/>
    <w:rsid w:val="007F1561"/>
    <w:rsid w:val="007F262C"/>
    <w:rsid w:val="007F4122"/>
    <w:rsid w:val="0080005C"/>
    <w:rsid w:val="00803592"/>
    <w:rsid w:val="00803A26"/>
    <w:rsid w:val="00805C48"/>
    <w:rsid w:val="00807C1B"/>
    <w:rsid w:val="008117E1"/>
    <w:rsid w:val="0081594E"/>
    <w:rsid w:val="0082187F"/>
    <w:rsid w:val="0082195C"/>
    <w:rsid w:val="00822382"/>
    <w:rsid w:val="008246ED"/>
    <w:rsid w:val="00825001"/>
    <w:rsid w:val="008252F8"/>
    <w:rsid w:val="0083455B"/>
    <w:rsid w:val="00834F3F"/>
    <w:rsid w:val="008353C9"/>
    <w:rsid w:val="00835870"/>
    <w:rsid w:val="0083684A"/>
    <w:rsid w:val="00837592"/>
    <w:rsid w:val="008379B2"/>
    <w:rsid w:val="00837B8D"/>
    <w:rsid w:val="00844167"/>
    <w:rsid w:val="00851603"/>
    <w:rsid w:val="00853814"/>
    <w:rsid w:val="008547EC"/>
    <w:rsid w:val="00855C58"/>
    <w:rsid w:val="00857259"/>
    <w:rsid w:val="00857FC1"/>
    <w:rsid w:val="008635AD"/>
    <w:rsid w:val="00863EE4"/>
    <w:rsid w:val="00864832"/>
    <w:rsid w:val="008678A4"/>
    <w:rsid w:val="00872B0B"/>
    <w:rsid w:val="00881DF6"/>
    <w:rsid w:val="00882A0A"/>
    <w:rsid w:val="00882A39"/>
    <w:rsid w:val="00883326"/>
    <w:rsid w:val="00884C2C"/>
    <w:rsid w:val="00887279"/>
    <w:rsid w:val="008878B2"/>
    <w:rsid w:val="00892C43"/>
    <w:rsid w:val="00894017"/>
    <w:rsid w:val="00895A04"/>
    <w:rsid w:val="008A010A"/>
    <w:rsid w:val="008A1E31"/>
    <w:rsid w:val="008A4719"/>
    <w:rsid w:val="008A4778"/>
    <w:rsid w:val="008A55DC"/>
    <w:rsid w:val="008B0F42"/>
    <w:rsid w:val="008B1382"/>
    <w:rsid w:val="008B4015"/>
    <w:rsid w:val="008B5E4A"/>
    <w:rsid w:val="008B7076"/>
    <w:rsid w:val="008B7FB6"/>
    <w:rsid w:val="008C0282"/>
    <w:rsid w:val="008C1AE3"/>
    <w:rsid w:val="008C1D97"/>
    <w:rsid w:val="008C51A1"/>
    <w:rsid w:val="008C5ED1"/>
    <w:rsid w:val="008C6310"/>
    <w:rsid w:val="008C65BC"/>
    <w:rsid w:val="008C6DB2"/>
    <w:rsid w:val="008C74B6"/>
    <w:rsid w:val="008C7DC3"/>
    <w:rsid w:val="008D13E3"/>
    <w:rsid w:val="008D337B"/>
    <w:rsid w:val="008D70FC"/>
    <w:rsid w:val="008E02C3"/>
    <w:rsid w:val="008E11F1"/>
    <w:rsid w:val="008E1EB5"/>
    <w:rsid w:val="008F5445"/>
    <w:rsid w:val="008F5C6B"/>
    <w:rsid w:val="009003AA"/>
    <w:rsid w:val="00903886"/>
    <w:rsid w:val="0090557D"/>
    <w:rsid w:val="009107BC"/>
    <w:rsid w:val="0091222F"/>
    <w:rsid w:val="00912FB7"/>
    <w:rsid w:val="009150FB"/>
    <w:rsid w:val="009155F0"/>
    <w:rsid w:val="00916522"/>
    <w:rsid w:val="00922709"/>
    <w:rsid w:val="00922F8F"/>
    <w:rsid w:val="00924836"/>
    <w:rsid w:val="00931665"/>
    <w:rsid w:val="00933D73"/>
    <w:rsid w:val="009353D0"/>
    <w:rsid w:val="00935A1C"/>
    <w:rsid w:val="009373DC"/>
    <w:rsid w:val="00940E81"/>
    <w:rsid w:val="00941D05"/>
    <w:rsid w:val="00944D24"/>
    <w:rsid w:val="00945F12"/>
    <w:rsid w:val="00946DDF"/>
    <w:rsid w:val="00951F8A"/>
    <w:rsid w:val="00953AE2"/>
    <w:rsid w:val="0095421E"/>
    <w:rsid w:val="00954BC2"/>
    <w:rsid w:val="009612C9"/>
    <w:rsid w:val="00961760"/>
    <w:rsid w:val="00962E3D"/>
    <w:rsid w:val="00963790"/>
    <w:rsid w:val="00963D07"/>
    <w:rsid w:val="0097011E"/>
    <w:rsid w:val="00972828"/>
    <w:rsid w:val="0097307A"/>
    <w:rsid w:val="00975427"/>
    <w:rsid w:val="0097559E"/>
    <w:rsid w:val="0098051F"/>
    <w:rsid w:val="00980595"/>
    <w:rsid w:val="0098225C"/>
    <w:rsid w:val="00984EC8"/>
    <w:rsid w:val="00992FF9"/>
    <w:rsid w:val="009947DC"/>
    <w:rsid w:val="009A0A1A"/>
    <w:rsid w:val="009A3CAF"/>
    <w:rsid w:val="009B0B04"/>
    <w:rsid w:val="009B17E9"/>
    <w:rsid w:val="009B3936"/>
    <w:rsid w:val="009B3F30"/>
    <w:rsid w:val="009B656C"/>
    <w:rsid w:val="009C1A57"/>
    <w:rsid w:val="009C2BE4"/>
    <w:rsid w:val="009C3F18"/>
    <w:rsid w:val="009C763E"/>
    <w:rsid w:val="009D05C9"/>
    <w:rsid w:val="009D5718"/>
    <w:rsid w:val="009D736A"/>
    <w:rsid w:val="009E068F"/>
    <w:rsid w:val="009E1F6C"/>
    <w:rsid w:val="009E6884"/>
    <w:rsid w:val="009E729E"/>
    <w:rsid w:val="009F118B"/>
    <w:rsid w:val="009F14C0"/>
    <w:rsid w:val="009F34FD"/>
    <w:rsid w:val="009F4D54"/>
    <w:rsid w:val="009F762A"/>
    <w:rsid w:val="009F763D"/>
    <w:rsid w:val="00A00557"/>
    <w:rsid w:val="00A019A8"/>
    <w:rsid w:val="00A01EB5"/>
    <w:rsid w:val="00A02D7E"/>
    <w:rsid w:val="00A035B7"/>
    <w:rsid w:val="00A051C9"/>
    <w:rsid w:val="00A0537D"/>
    <w:rsid w:val="00A062E7"/>
    <w:rsid w:val="00A074BA"/>
    <w:rsid w:val="00A10016"/>
    <w:rsid w:val="00A10558"/>
    <w:rsid w:val="00A1182F"/>
    <w:rsid w:val="00A11D7F"/>
    <w:rsid w:val="00A120E0"/>
    <w:rsid w:val="00A125BD"/>
    <w:rsid w:val="00A16FBE"/>
    <w:rsid w:val="00A258E2"/>
    <w:rsid w:val="00A26C93"/>
    <w:rsid w:val="00A3088A"/>
    <w:rsid w:val="00A32CD2"/>
    <w:rsid w:val="00A34628"/>
    <w:rsid w:val="00A37DC2"/>
    <w:rsid w:val="00A37F65"/>
    <w:rsid w:val="00A40C83"/>
    <w:rsid w:val="00A43E29"/>
    <w:rsid w:val="00A4549F"/>
    <w:rsid w:val="00A500A4"/>
    <w:rsid w:val="00A519DD"/>
    <w:rsid w:val="00A60043"/>
    <w:rsid w:val="00A60500"/>
    <w:rsid w:val="00A62314"/>
    <w:rsid w:val="00A67360"/>
    <w:rsid w:val="00A725B2"/>
    <w:rsid w:val="00A726E9"/>
    <w:rsid w:val="00A729E5"/>
    <w:rsid w:val="00A742A1"/>
    <w:rsid w:val="00A76208"/>
    <w:rsid w:val="00A779F6"/>
    <w:rsid w:val="00A77B79"/>
    <w:rsid w:val="00A818D2"/>
    <w:rsid w:val="00A81EAF"/>
    <w:rsid w:val="00A82FDB"/>
    <w:rsid w:val="00A83B7A"/>
    <w:rsid w:val="00A859CF"/>
    <w:rsid w:val="00A85D90"/>
    <w:rsid w:val="00A8681E"/>
    <w:rsid w:val="00A912B8"/>
    <w:rsid w:val="00A95168"/>
    <w:rsid w:val="00A96EDA"/>
    <w:rsid w:val="00AA267B"/>
    <w:rsid w:val="00AA476A"/>
    <w:rsid w:val="00AA5112"/>
    <w:rsid w:val="00AA54C9"/>
    <w:rsid w:val="00AA55F8"/>
    <w:rsid w:val="00AA5F39"/>
    <w:rsid w:val="00AA7688"/>
    <w:rsid w:val="00AB01E5"/>
    <w:rsid w:val="00AB06DA"/>
    <w:rsid w:val="00AB3FB8"/>
    <w:rsid w:val="00AB566D"/>
    <w:rsid w:val="00AB648A"/>
    <w:rsid w:val="00AB7106"/>
    <w:rsid w:val="00AB720E"/>
    <w:rsid w:val="00AC0834"/>
    <w:rsid w:val="00AC404C"/>
    <w:rsid w:val="00AC4F0F"/>
    <w:rsid w:val="00AC6870"/>
    <w:rsid w:val="00AD6C3C"/>
    <w:rsid w:val="00AD77E0"/>
    <w:rsid w:val="00AE3174"/>
    <w:rsid w:val="00AE33C9"/>
    <w:rsid w:val="00AE5C42"/>
    <w:rsid w:val="00AF0920"/>
    <w:rsid w:val="00AF1D5B"/>
    <w:rsid w:val="00AF3DF3"/>
    <w:rsid w:val="00AF6CDA"/>
    <w:rsid w:val="00B000BA"/>
    <w:rsid w:val="00B009B0"/>
    <w:rsid w:val="00B01E27"/>
    <w:rsid w:val="00B0233A"/>
    <w:rsid w:val="00B032B8"/>
    <w:rsid w:val="00B035D6"/>
    <w:rsid w:val="00B03AB2"/>
    <w:rsid w:val="00B06661"/>
    <w:rsid w:val="00B06960"/>
    <w:rsid w:val="00B0735B"/>
    <w:rsid w:val="00B10EE6"/>
    <w:rsid w:val="00B1194F"/>
    <w:rsid w:val="00B13B3C"/>
    <w:rsid w:val="00B148F2"/>
    <w:rsid w:val="00B159E3"/>
    <w:rsid w:val="00B21605"/>
    <w:rsid w:val="00B22651"/>
    <w:rsid w:val="00B226EB"/>
    <w:rsid w:val="00B22DD4"/>
    <w:rsid w:val="00B277F3"/>
    <w:rsid w:val="00B27F0D"/>
    <w:rsid w:val="00B318F3"/>
    <w:rsid w:val="00B32E22"/>
    <w:rsid w:val="00B33FB1"/>
    <w:rsid w:val="00B34365"/>
    <w:rsid w:val="00B34728"/>
    <w:rsid w:val="00B36008"/>
    <w:rsid w:val="00B41835"/>
    <w:rsid w:val="00B41BAD"/>
    <w:rsid w:val="00B42890"/>
    <w:rsid w:val="00B479A2"/>
    <w:rsid w:val="00B51782"/>
    <w:rsid w:val="00B54833"/>
    <w:rsid w:val="00B54BF9"/>
    <w:rsid w:val="00B55F6E"/>
    <w:rsid w:val="00B574FF"/>
    <w:rsid w:val="00B60965"/>
    <w:rsid w:val="00B66912"/>
    <w:rsid w:val="00B7131B"/>
    <w:rsid w:val="00B71CE9"/>
    <w:rsid w:val="00B763EE"/>
    <w:rsid w:val="00B767CC"/>
    <w:rsid w:val="00B77DF7"/>
    <w:rsid w:val="00B8018D"/>
    <w:rsid w:val="00B8025E"/>
    <w:rsid w:val="00B80361"/>
    <w:rsid w:val="00B80763"/>
    <w:rsid w:val="00B80E63"/>
    <w:rsid w:val="00B81AA4"/>
    <w:rsid w:val="00B84103"/>
    <w:rsid w:val="00B84DFE"/>
    <w:rsid w:val="00B85F00"/>
    <w:rsid w:val="00B87221"/>
    <w:rsid w:val="00B971CB"/>
    <w:rsid w:val="00B97513"/>
    <w:rsid w:val="00B97969"/>
    <w:rsid w:val="00BA1C27"/>
    <w:rsid w:val="00BA48C6"/>
    <w:rsid w:val="00BA5427"/>
    <w:rsid w:val="00BA6C6C"/>
    <w:rsid w:val="00BA75BE"/>
    <w:rsid w:val="00BB0CD6"/>
    <w:rsid w:val="00BB5559"/>
    <w:rsid w:val="00BB73CB"/>
    <w:rsid w:val="00BC0D5D"/>
    <w:rsid w:val="00BC1A14"/>
    <w:rsid w:val="00BC3E1B"/>
    <w:rsid w:val="00BC48F9"/>
    <w:rsid w:val="00BD54EC"/>
    <w:rsid w:val="00BE38F0"/>
    <w:rsid w:val="00BE3D8F"/>
    <w:rsid w:val="00BE579B"/>
    <w:rsid w:val="00BE5F31"/>
    <w:rsid w:val="00BF2053"/>
    <w:rsid w:val="00BF291D"/>
    <w:rsid w:val="00BF5816"/>
    <w:rsid w:val="00BF5AFA"/>
    <w:rsid w:val="00BF61BE"/>
    <w:rsid w:val="00BF795B"/>
    <w:rsid w:val="00C01EC7"/>
    <w:rsid w:val="00C02B59"/>
    <w:rsid w:val="00C03742"/>
    <w:rsid w:val="00C04752"/>
    <w:rsid w:val="00C0620E"/>
    <w:rsid w:val="00C16061"/>
    <w:rsid w:val="00C17B3A"/>
    <w:rsid w:val="00C2404F"/>
    <w:rsid w:val="00C259E0"/>
    <w:rsid w:val="00C25A8F"/>
    <w:rsid w:val="00C318B4"/>
    <w:rsid w:val="00C35E76"/>
    <w:rsid w:val="00C37A84"/>
    <w:rsid w:val="00C37EE8"/>
    <w:rsid w:val="00C419FB"/>
    <w:rsid w:val="00C4249E"/>
    <w:rsid w:val="00C45F2A"/>
    <w:rsid w:val="00C471F3"/>
    <w:rsid w:val="00C53E22"/>
    <w:rsid w:val="00C53E71"/>
    <w:rsid w:val="00C54409"/>
    <w:rsid w:val="00C555A3"/>
    <w:rsid w:val="00C56ADB"/>
    <w:rsid w:val="00C572F7"/>
    <w:rsid w:val="00C57B3B"/>
    <w:rsid w:val="00C6176E"/>
    <w:rsid w:val="00C62519"/>
    <w:rsid w:val="00C62DFE"/>
    <w:rsid w:val="00C63E2E"/>
    <w:rsid w:val="00C653C3"/>
    <w:rsid w:val="00C70E93"/>
    <w:rsid w:val="00C72DBA"/>
    <w:rsid w:val="00C746D4"/>
    <w:rsid w:val="00C74947"/>
    <w:rsid w:val="00C7630A"/>
    <w:rsid w:val="00C7792B"/>
    <w:rsid w:val="00C81F7B"/>
    <w:rsid w:val="00C8373F"/>
    <w:rsid w:val="00C83957"/>
    <w:rsid w:val="00C83AD2"/>
    <w:rsid w:val="00C86760"/>
    <w:rsid w:val="00C874EB"/>
    <w:rsid w:val="00C87734"/>
    <w:rsid w:val="00C91868"/>
    <w:rsid w:val="00C947B6"/>
    <w:rsid w:val="00C96624"/>
    <w:rsid w:val="00C97BF2"/>
    <w:rsid w:val="00CA2602"/>
    <w:rsid w:val="00CA4660"/>
    <w:rsid w:val="00CA5152"/>
    <w:rsid w:val="00CA54A9"/>
    <w:rsid w:val="00CA6E16"/>
    <w:rsid w:val="00CA733D"/>
    <w:rsid w:val="00CB04A3"/>
    <w:rsid w:val="00CC05F8"/>
    <w:rsid w:val="00CC1FAD"/>
    <w:rsid w:val="00CC360E"/>
    <w:rsid w:val="00CC59FC"/>
    <w:rsid w:val="00CC5A7C"/>
    <w:rsid w:val="00CC70F5"/>
    <w:rsid w:val="00CD044A"/>
    <w:rsid w:val="00CD2ACF"/>
    <w:rsid w:val="00CD38CA"/>
    <w:rsid w:val="00CD3F89"/>
    <w:rsid w:val="00CD438B"/>
    <w:rsid w:val="00CD4540"/>
    <w:rsid w:val="00CD604B"/>
    <w:rsid w:val="00CE0581"/>
    <w:rsid w:val="00CE2B2F"/>
    <w:rsid w:val="00CE44F6"/>
    <w:rsid w:val="00CF16D9"/>
    <w:rsid w:val="00CF2CEB"/>
    <w:rsid w:val="00CF5F7D"/>
    <w:rsid w:val="00CF704C"/>
    <w:rsid w:val="00CF75EB"/>
    <w:rsid w:val="00CF78C3"/>
    <w:rsid w:val="00CF78FC"/>
    <w:rsid w:val="00D00E52"/>
    <w:rsid w:val="00D026BF"/>
    <w:rsid w:val="00D04725"/>
    <w:rsid w:val="00D11452"/>
    <w:rsid w:val="00D1147C"/>
    <w:rsid w:val="00D12050"/>
    <w:rsid w:val="00D14040"/>
    <w:rsid w:val="00D154DF"/>
    <w:rsid w:val="00D16C4C"/>
    <w:rsid w:val="00D20A7C"/>
    <w:rsid w:val="00D23EAB"/>
    <w:rsid w:val="00D321B2"/>
    <w:rsid w:val="00D324A2"/>
    <w:rsid w:val="00D3410B"/>
    <w:rsid w:val="00D3497E"/>
    <w:rsid w:val="00D351B6"/>
    <w:rsid w:val="00D40701"/>
    <w:rsid w:val="00D4110D"/>
    <w:rsid w:val="00D424DF"/>
    <w:rsid w:val="00D440FB"/>
    <w:rsid w:val="00D45C1C"/>
    <w:rsid w:val="00D47429"/>
    <w:rsid w:val="00D516D1"/>
    <w:rsid w:val="00D55E30"/>
    <w:rsid w:val="00D5638F"/>
    <w:rsid w:val="00D57814"/>
    <w:rsid w:val="00D60DD4"/>
    <w:rsid w:val="00D6263E"/>
    <w:rsid w:val="00D6449C"/>
    <w:rsid w:val="00D70A05"/>
    <w:rsid w:val="00D70B08"/>
    <w:rsid w:val="00D71659"/>
    <w:rsid w:val="00D72F1D"/>
    <w:rsid w:val="00D74480"/>
    <w:rsid w:val="00D77997"/>
    <w:rsid w:val="00D80907"/>
    <w:rsid w:val="00D8153B"/>
    <w:rsid w:val="00D83172"/>
    <w:rsid w:val="00D84438"/>
    <w:rsid w:val="00D85C25"/>
    <w:rsid w:val="00D85EFF"/>
    <w:rsid w:val="00D97068"/>
    <w:rsid w:val="00D97B2A"/>
    <w:rsid w:val="00DA028B"/>
    <w:rsid w:val="00DA0F93"/>
    <w:rsid w:val="00DA12B3"/>
    <w:rsid w:val="00DA29A4"/>
    <w:rsid w:val="00DA337A"/>
    <w:rsid w:val="00DA5560"/>
    <w:rsid w:val="00DA5610"/>
    <w:rsid w:val="00DA685A"/>
    <w:rsid w:val="00DA6D88"/>
    <w:rsid w:val="00DA79CF"/>
    <w:rsid w:val="00DA7C1A"/>
    <w:rsid w:val="00DB02AC"/>
    <w:rsid w:val="00DB07E4"/>
    <w:rsid w:val="00DB0AE4"/>
    <w:rsid w:val="00DB1667"/>
    <w:rsid w:val="00DB3CF9"/>
    <w:rsid w:val="00DC2818"/>
    <w:rsid w:val="00DC2E21"/>
    <w:rsid w:val="00DC3A43"/>
    <w:rsid w:val="00DC4A99"/>
    <w:rsid w:val="00DC5888"/>
    <w:rsid w:val="00DC6EF4"/>
    <w:rsid w:val="00DD3EFA"/>
    <w:rsid w:val="00DD5C36"/>
    <w:rsid w:val="00DD6270"/>
    <w:rsid w:val="00DD6B1C"/>
    <w:rsid w:val="00DE153D"/>
    <w:rsid w:val="00DE571B"/>
    <w:rsid w:val="00DE5DF1"/>
    <w:rsid w:val="00DE744E"/>
    <w:rsid w:val="00DF0456"/>
    <w:rsid w:val="00DF1A2C"/>
    <w:rsid w:val="00DF1F5F"/>
    <w:rsid w:val="00DF2DBB"/>
    <w:rsid w:val="00DF35C8"/>
    <w:rsid w:val="00DF454D"/>
    <w:rsid w:val="00DF5983"/>
    <w:rsid w:val="00DF651E"/>
    <w:rsid w:val="00DF6656"/>
    <w:rsid w:val="00E02470"/>
    <w:rsid w:val="00E05EF9"/>
    <w:rsid w:val="00E10271"/>
    <w:rsid w:val="00E1301A"/>
    <w:rsid w:val="00E131F4"/>
    <w:rsid w:val="00E15D16"/>
    <w:rsid w:val="00E17DB1"/>
    <w:rsid w:val="00E32C7E"/>
    <w:rsid w:val="00E35472"/>
    <w:rsid w:val="00E36A7B"/>
    <w:rsid w:val="00E37D33"/>
    <w:rsid w:val="00E412F7"/>
    <w:rsid w:val="00E4305E"/>
    <w:rsid w:val="00E43F58"/>
    <w:rsid w:val="00E44C9E"/>
    <w:rsid w:val="00E455B8"/>
    <w:rsid w:val="00E53A52"/>
    <w:rsid w:val="00E55B7A"/>
    <w:rsid w:val="00E61E5A"/>
    <w:rsid w:val="00E62030"/>
    <w:rsid w:val="00E623E9"/>
    <w:rsid w:val="00E6392D"/>
    <w:rsid w:val="00E64724"/>
    <w:rsid w:val="00E65391"/>
    <w:rsid w:val="00E65AEC"/>
    <w:rsid w:val="00E65DAE"/>
    <w:rsid w:val="00E67A41"/>
    <w:rsid w:val="00E726F7"/>
    <w:rsid w:val="00E75534"/>
    <w:rsid w:val="00E76F7E"/>
    <w:rsid w:val="00E80C36"/>
    <w:rsid w:val="00E82649"/>
    <w:rsid w:val="00E82E85"/>
    <w:rsid w:val="00E848D8"/>
    <w:rsid w:val="00E86BDD"/>
    <w:rsid w:val="00E87A0D"/>
    <w:rsid w:val="00E915B3"/>
    <w:rsid w:val="00E91917"/>
    <w:rsid w:val="00E97F02"/>
    <w:rsid w:val="00EA366B"/>
    <w:rsid w:val="00EA3CE0"/>
    <w:rsid w:val="00EA608E"/>
    <w:rsid w:val="00EA7C4B"/>
    <w:rsid w:val="00EB0A73"/>
    <w:rsid w:val="00EB345F"/>
    <w:rsid w:val="00EC17FD"/>
    <w:rsid w:val="00EC66B6"/>
    <w:rsid w:val="00EC68A1"/>
    <w:rsid w:val="00EC6A64"/>
    <w:rsid w:val="00EC780B"/>
    <w:rsid w:val="00ED31BE"/>
    <w:rsid w:val="00ED33E3"/>
    <w:rsid w:val="00ED3836"/>
    <w:rsid w:val="00ED50D9"/>
    <w:rsid w:val="00ED5156"/>
    <w:rsid w:val="00ED5AA5"/>
    <w:rsid w:val="00ED7049"/>
    <w:rsid w:val="00ED7126"/>
    <w:rsid w:val="00EE19FF"/>
    <w:rsid w:val="00EE1ADB"/>
    <w:rsid w:val="00EE29E0"/>
    <w:rsid w:val="00EE3624"/>
    <w:rsid w:val="00EF084E"/>
    <w:rsid w:val="00EF38A8"/>
    <w:rsid w:val="00EF442D"/>
    <w:rsid w:val="00EF4CFB"/>
    <w:rsid w:val="00EF614D"/>
    <w:rsid w:val="00EF7E26"/>
    <w:rsid w:val="00F01B37"/>
    <w:rsid w:val="00F02546"/>
    <w:rsid w:val="00F04A8B"/>
    <w:rsid w:val="00F05329"/>
    <w:rsid w:val="00F0555A"/>
    <w:rsid w:val="00F05DC3"/>
    <w:rsid w:val="00F062F1"/>
    <w:rsid w:val="00F06C41"/>
    <w:rsid w:val="00F072D2"/>
    <w:rsid w:val="00F10841"/>
    <w:rsid w:val="00F10CE0"/>
    <w:rsid w:val="00F11B26"/>
    <w:rsid w:val="00F11BB9"/>
    <w:rsid w:val="00F124E6"/>
    <w:rsid w:val="00F12FCF"/>
    <w:rsid w:val="00F146DB"/>
    <w:rsid w:val="00F1715F"/>
    <w:rsid w:val="00F24823"/>
    <w:rsid w:val="00F24AED"/>
    <w:rsid w:val="00F24D27"/>
    <w:rsid w:val="00F2529E"/>
    <w:rsid w:val="00F25DDB"/>
    <w:rsid w:val="00F2625C"/>
    <w:rsid w:val="00F26CA5"/>
    <w:rsid w:val="00F279A4"/>
    <w:rsid w:val="00F27D96"/>
    <w:rsid w:val="00F3088C"/>
    <w:rsid w:val="00F362CB"/>
    <w:rsid w:val="00F367F6"/>
    <w:rsid w:val="00F405EC"/>
    <w:rsid w:val="00F40CA0"/>
    <w:rsid w:val="00F46B22"/>
    <w:rsid w:val="00F47765"/>
    <w:rsid w:val="00F52B43"/>
    <w:rsid w:val="00F543BA"/>
    <w:rsid w:val="00F564EA"/>
    <w:rsid w:val="00F60610"/>
    <w:rsid w:val="00F616AF"/>
    <w:rsid w:val="00F62A84"/>
    <w:rsid w:val="00F64DCB"/>
    <w:rsid w:val="00F65C05"/>
    <w:rsid w:val="00F67D61"/>
    <w:rsid w:val="00F757D2"/>
    <w:rsid w:val="00F77BB0"/>
    <w:rsid w:val="00F80D3C"/>
    <w:rsid w:val="00F81223"/>
    <w:rsid w:val="00F82330"/>
    <w:rsid w:val="00F83D21"/>
    <w:rsid w:val="00F844A5"/>
    <w:rsid w:val="00F90438"/>
    <w:rsid w:val="00F90801"/>
    <w:rsid w:val="00F935B6"/>
    <w:rsid w:val="00F95CBA"/>
    <w:rsid w:val="00FA286F"/>
    <w:rsid w:val="00FA3086"/>
    <w:rsid w:val="00FA36B7"/>
    <w:rsid w:val="00FA6653"/>
    <w:rsid w:val="00FA7DA1"/>
    <w:rsid w:val="00FB05CF"/>
    <w:rsid w:val="00FB0E14"/>
    <w:rsid w:val="00FB0E68"/>
    <w:rsid w:val="00FB3229"/>
    <w:rsid w:val="00FB5411"/>
    <w:rsid w:val="00FC1A57"/>
    <w:rsid w:val="00FC44C7"/>
    <w:rsid w:val="00FC7D5D"/>
    <w:rsid w:val="00FD2535"/>
    <w:rsid w:val="00FD3770"/>
    <w:rsid w:val="00FD42D6"/>
    <w:rsid w:val="00FD4BEF"/>
    <w:rsid w:val="00FD6896"/>
    <w:rsid w:val="00FD70BB"/>
    <w:rsid w:val="00FE1408"/>
    <w:rsid w:val="00FE3F2A"/>
    <w:rsid w:val="00FE3FE5"/>
    <w:rsid w:val="00FE61CA"/>
    <w:rsid w:val="00FE68B2"/>
    <w:rsid w:val="00FF4D6E"/>
    <w:rsid w:val="00FF7D40"/>
    <w:rsid w:val="030A0B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uiPriority w:val="39"/>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40534C"/>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40534C"/>
    <w:rPr>
      <w:sz w:val="20"/>
    </w:rPr>
  </w:style>
  <w:style w:type="character" w:styleId="CommentReference">
    <w:name w:val="annotation reference"/>
    <w:basedOn w:val="DefaultParagraphFont"/>
    <w:uiPriority w:val="99"/>
    <w:semiHidden/>
    <w:unhideWhenUsed/>
    <w:locked/>
    <w:rsid w:val="0040534C"/>
    <w:rPr>
      <w:sz w:val="16"/>
      <w:szCs w:val="16"/>
    </w:rPr>
  </w:style>
  <w:style w:type="paragraph" w:styleId="CommentText">
    <w:name w:val="annotation text"/>
    <w:basedOn w:val="Normal"/>
    <w:link w:val="CommentTextChar"/>
    <w:uiPriority w:val="99"/>
    <w:unhideWhenUsed/>
    <w:locked/>
    <w:rsid w:val="0040534C"/>
    <w:rPr>
      <w:rFonts w:eastAsiaTheme="minorHAnsi" w:cstheme="minorBidi"/>
      <w:sz w:val="20"/>
      <w:lang w:eastAsia="en-US"/>
    </w:rPr>
  </w:style>
  <w:style w:type="character" w:customStyle="1" w:styleId="CommentTextChar">
    <w:name w:val="Comment Text Char"/>
    <w:basedOn w:val="DefaultParagraphFont"/>
    <w:link w:val="CommentText"/>
    <w:uiPriority w:val="99"/>
    <w:rsid w:val="0040534C"/>
    <w:rPr>
      <w:rFonts w:eastAsiaTheme="minorHAnsi" w:cstheme="minorBidi"/>
      <w:sz w:val="20"/>
      <w:lang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40534C"/>
    <w:rPr>
      <w:vertAlign w:val="superscript"/>
    </w:rPr>
  </w:style>
  <w:style w:type="character" w:customStyle="1" w:styleId="TitleChar">
    <w:name w:val="Title Char"/>
    <w:basedOn w:val="DefaultParagraphFont"/>
    <w:link w:val="Title"/>
    <w:uiPriority w:val="10"/>
    <w:rsid w:val="0040534C"/>
    <w:rPr>
      <w:b/>
      <w:kern w:val="28"/>
      <w:sz w:val="48"/>
    </w:rPr>
  </w:style>
  <w:style w:type="table" w:styleId="GridTable7Colorful-Accent6">
    <w:name w:val="Grid Table 7 Colorful Accent 6"/>
    <w:basedOn w:val="TableNormal"/>
    <w:uiPriority w:val="52"/>
    <w:locked/>
    <w:rsid w:val="0040534C"/>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40534C"/>
    <w:rPr>
      <w:b/>
      <w:smallCaps/>
    </w:rPr>
  </w:style>
  <w:style w:type="character" w:customStyle="1" w:styleId="Heading2Char">
    <w:name w:val="Heading 2 Char"/>
    <w:basedOn w:val="DefaultParagraphFont"/>
    <w:link w:val="Heading2"/>
    <w:uiPriority w:val="9"/>
    <w:rsid w:val="0040534C"/>
    <w:rPr>
      <w:b/>
    </w:rPr>
  </w:style>
  <w:style w:type="character" w:customStyle="1" w:styleId="Heading3Char">
    <w:name w:val="Heading 3 Char"/>
    <w:basedOn w:val="DefaultParagraphFont"/>
    <w:link w:val="Heading3"/>
    <w:uiPriority w:val="9"/>
    <w:rsid w:val="0040534C"/>
    <w:rPr>
      <w:i/>
    </w:rPr>
  </w:style>
  <w:style w:type="character" w:customStyle="1" w:styleId="Heading4Char">
    <w:name w:val="Heading 4 Char"/>
    <w:basedOn w:val="DefaultParagraphFont"/>
    <w:link w:val="Heading4"/>
    <w:uiPriority w:val="9"/>
    <w:rsid w:val="0040534C"/>
  </w:style>
  <w:style w:type="character" w:customStyle="1" w:styleId="Heading5Char">
    <w:name w:val="Heading 5 Char"/>
    <w:basedOn w:val="DefaultParagraphFont"/>
    <w:link w:val="Heading5"/>
    <w:uiPriority w:val="9"/>
    <w:semiHidden/>
    <w:rsid w:val="0040534C"/>
  </w:style>
  <w:style w:type="character" w:customStyle="1" w:styleId="Heading6Char">
    <w:name w:val="Heading 6 Char"/>
    <w:basedOn w:val="DefaultParagraphFont"/>
    <w:link w:val="Heading6"/>
    <w:uiPriority w:val="9"/>
    <w:semiHidden/>
    <w:rsid w:val="0040534C"/>
  </w:style>
  <w:style w:type="character" w:customStyle="1" w:styleId="Heading7Char">
    <w:name w:val="Heading 7 Char"/>
    <w:basedOn w:val="DefaultParagraphFont"/>
    <w:link w:val="Heading7"/>
    <w:uiPriority w:val="9"/>
    <w:semiHidden/>
    <w:rsid w:val="0040534C"/>
  </w:style>
  <w:style w:type="character" w:customStyle="1" w:styleId="Heading8Char">
    <w:name w:val="Heading 8 Char"/>
    <w:basedOn w:val="DefaultParagraphFont"/>
    <w:link w:val="Heading8"/>
    <w:uiPriority w:val="9"/>
    <w:semiHidden/>
    <w:rsid w:val="0040534C"/>
  </w:style>
  <w:style w:type="character" w:customStyle="1" w:styleId="Heading9Char">
    <w:name w:val="Heading 9 Char"/>
    <w:basedOn w:val="DefaultParagraphFont"/>
    <w:link w:val="Heading9"/>
    <w:uiPriority w:val="9"/>
    <w:semiHidden/>
    <w:rsid w:val="0040534C"/>
  </w:style>
  <w:style w:type="paragraph" w:customStyle="1" w:styleId="FootnoteRoLReport">
    <w:name w:val="Footnote RoL Report"/>
    <w:basedOn w:val="FootnoteText"/>
    <w:link w:val="FootnoteRoLReportChar"/>
    <w:autoRedefine/>
    <w:qFormat/>
    <w:rsid w:val="0040534C"/>
    <w:pPr>
      <w:ind w:left="284" w:hanging="284"/>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40534C"/>
    <w:rPr>
      <w:rFonts w:eastAsiaTheme="minorHAnsi" w:cstheme="minorBidi"/>
      <w:sz w:val="20"/>
      <w:lang w:eastAsia="en-US"/>
    </w:rPr>
  </w:style>
  <w:style w:type="paragraph" w:styleId="ListParagraph">
    <w:name w:val="List Paragraph"/>
    <w:basedOn w:val="Normal"/>
    <w:uiPriority w:val="34"/>
    <w:qFormat/>
    <w:locked/>
    <w:rsid w:val="0040534C"/>
    <w:pPr>
      <w:ind w:left="720"/>
      <w:contextualSpacing/>
    </w:pPr>
    <w:rPr>
      <w:rFonts w:eastAsiaTheme="minorHAnsi" w:cstheme="minorBidi"/>
      <w:szCs w:val="22"/>
      <w:lang w:eastAsia="en-US"/>
    </w:rPr>
  </w:style>
  <w:style w:type="character" w:styleId="Strong">
    <w:name w:val="Strong"/>
    <w:basedOn w:val="DefaultParagraphFont"/>
    <w:uiPriority w:val="22"/>
    <w:qFormat/>
    <w:locked/>
    <w:rsid w:val="0040534C"/>
    <w:rPr>
      <w:b/>
      <w:bC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0534C"/>
    <w:pPr>
      <w:spacing w:after="160" w:line="240" w:lineRule="exact"/>
    </w:pPr>
    <w:rPr>
      <w:vertAlign w:val="superscript"/>
    </w:rPr>
  </w:style>
  <w:style w:type="character" w:styleId="Hyperlink">
    <w:name w:val="Hyperlink"/>
    <w:basedOn w:val="DefaultParagraphFont"/>
    <w:uiPriority w:val="99"/>
    <w:unhideWhenUsed/>
    <w:locked/>
    <w:rsid w:val="0040534C"/>
    <w:rPr>
      <w:color w:val="0563C1" w:themeColor="hyperlink"/>
      <w:u w:val="single"/>
    </w:rPr>
  </w:style>
  <w:style w:type="character" w:customStyle="1" w:styleId="Bodytext1">
    <w:name w:val="Body text|1_"/>
    <w:basedOn w:val="DefaultParagraphFont"/>
    <w:link w:val="Bodytext10"/>
    <w:rsid w:val="0040534C"/>
  </w:style>
  <w:style w:type="paragraph" w:customStyle="1" w:styleId="Bodytext10">
    <w:name w:val="Body text|1"/>
    <w:basedOn w:val="Normal"/>
    <w:link w:val="Bodytext1"/>
    <w:rsid w:val="0040534C"/>
    <w:pPr>
      <w:widowControl w:val="0"/>
      <w:spacing w:after="160" w:line="379" w:lineRule="auto"/>
      <w:jc w:val="left"/>
    </w:pPr>
  </w:style>
  <w:style w:type="character" w:customStyle="1" w:styleId="Bodytext3">
    <w:name w:val="Body text|3_"/>
    <w:basedOn w:val="DefaultParagraphFont"/>
    <w:link w:val="Bodytext30"/>
    <w:rsid w:val="0040534C"/>
    <w:rPr>
      <w:rFonts w:ascii="Calibri" w:eastAsia="Calibri" w:hAnsi="Calibri" w:cs="Calibri"/>
      <w:i/>
      <w:iCs/>
      <w:shd w:val="clear" w:color="auto" w:fill="FFFFFF"/>
    </w:rPr>
  </w:style>
  <w:style w:type="paragraph" w:customStyle="1" w:styleId="Bodytext30">
    <w:name w:val="Body text|3"/>
    <w:basedOn w:val="Normal"/>
    <w:link w:val="Bodytext3"/>
    <w:rsid w:val="0040534C"/>
    <w:pPr>
      <w:widowControl w:val="0"/>
      <w:shd w:val="clear" w:color="auto" w:fill="FFFFFF"/>
      <w:spacing w:before="260" w:after="120" w:line="268" w:lineRule="exact"/>
      <w:ind w:hanging="360"/>
      <w:jc w:val="left"/>
    </w:pPr>
    <w:rPr>
      <w:rFonts w:ascii="Calibri" w:eastAsia="Calibri" w:hAnsi="Calibri" w:cs="Calibri"/>
      <w:i/>
      <w:iCs/>
    </w:rPr>
  </w:style>
  <w:style w:type="paragraph" w:styleId="CommentSubject">
    <w:name w:val="annotation subject"/>
    <w:basedOn w:val="CommentText"/>
    <w:next w:val="CommentText"/>
    <w:link w:val="CommentSubjectChar"/>
    <w:uiPriority w:val="99"/>
    <w:semiHidden/>
    <w:unhideWhenUsed/>
    <w:locked/>
    <w:rsid w:val="0040534C"/>
    <w:rPr>
      <w:b/>
      <w:bCs/>
    </w:rPr>
  </w:style>
  <w:style w:type="character" w:customStyle="1" w:styleId="CommentSubjectChar">
    <w:name w:val="Comment Subject Char"/>
    <w:basedOn w:val="CommentTextChar"/>
    <w:link w:val="CommentSubject"/>
    <w:uiPriority w:val="99"/>
    <w:semiHidden/>
    <w:rsid w:val="0040534C"/>
    <w:rPr>
      <w:rFonts w:eastAsiaTheme="minorHAnsi" w:cstheme="minorBidi"/>
      <w:b/>
      <w:bCs/>
      <w:sz w:val="20"/>
      <w:lang w:eastAsia="en-US"/>
    </w:rPr>
  </w:style>
  <w:style w:type="character" w:customStyle="1" w:styleId="cf01">
    <w:name w:val="cf01"/>
    <w:basedOn w:val="DefaultParagraphFont"/>
    <w:rsid w:val="0040534C"/>
    <w:rPr>
      <w:rFonts w:ascii="Segoe UI" w:hAnsi="Segoe UI" w:cs="Segoe UI" w:hint="default"/>
      <w:sz w:val="18"/>
      <w:szCs w:val="18"/>
    </w:rPr>
  </w:style>
  <w:style w:type="character" w:customStyle="1" w:styleId="Mention">
    <w:name w:val="Mention"/>
    <w:basedOn w:val="DefaultParagraphFont"/>
    <w:uiPriority w:val="99"/>
    <w:unhideWhenUsed/>
    <w:rsid w:val="0040534C"/>
    <w:rPr>
      <w:color w:val="2B579A"/>
      <w:shd w:val="clear" w:color="auto" w:fill="E1DFDD"/>
    </w:rPr>
  </w:style>
  <w:style w:type="paragraph" w:styleId="Revision">
    <w:name w:val="Revision"/>
    <w:hidden/>
    <w:uiPriority w:val="99"/>
    <w:semiHidden/>
    <w:locked/>
    <w:rsid w:val="0040534C"/>
    <w:rPr>
      <w:rFonts w:eastAsiaTheme="minorHAnsi" w:cstheme="minorBidi"/>
      <w:szCs w:val="22"/>
      <w:lang w:eastAsia="en-US"/>
    </w:rPr>
  </w:style>
  <w:style w:type="paragraph" w:customStyle="1" w:styleId="pf0">
    <w:name w:val="pf0"/>
    <w:basedOn w:val="Normal"/>
    <w:rsid w:val="0040534C"/>
    <w:pPr>
      <w:spacing w:before="100" w:beforeAutospacing="1" w:after="100" w:afterAutospacing="1"/>
      <w:jc w:val="left"/>
    </w:pPr>
    <w:rPr>
      <w:szCs w:val="24"/>
      <w:lang w:eastAsia="en-GB"/>
    </w:rPr>
  </w:style>
  <w:style w:type="character" w:customStyle="1" w:styleId="UnresolvedMention">
    <w:name w:val="Unresolved Mention"/>
    <w:basedOn w:val="DefaultParagraphFont"/>
    <w:uiPriority w:val="99"/>
    <w:semiHidden/>
    <w:unhideWhenUsed/>
    <w:rsid w:val="0040534C"/>
    <w:rPr>
      <w:color w:val="605E5C"/>
      <w:shd w:val="clear" w:color="auto" w:fill="E1DFDD"/>
    </w:rPr>
  </w:style>
  <w:style w:type="character" w:styleId="FollowedHyperlink">
    <w:name w:val="FollowedHyperlink"/>
    <w:basedOn w:val="DefaultParagraphFont"/>
    <w:uiPriority w:val="99"/>
    <w:semiHidden/>
    <w:unhideWhenUsed/>
    <w:locked/>
    <w:rsid w:val="0040534C"/>
    <w:rPr>
      <w:color w:val="954F72" w:themeColor="followedHyperlink"/>
      <w:u w:val="single"/>
    </w:rPr>
  </w:style>
  <w:style w:type="character" w:customStyle="1" w:styleId="FootnoteTextChar1">
    <w:name w:val="Footnote Text Char1"/>
    <w:basedOn w:val="DefaultParagraphFont"/>
    <w:uiPriority w:val="99"/>
    <w:semiHidden/>
    <w:rsid w:val="0040534C"/>
    <w:rPr>
      <w:sz w:val="20"/>
      <w:szCs w:val="20"/>
    </w:rPr>
  </w:style>
  <w:style w:type="character" w:customStyle="1" w:styleId="cf11">
    <w:name w:val="cf11"/>
    <w:basedOn w:val="DefaultParagraphFont"/>
    <w:rsid w:val="00450185"/>
    <w:rPr>
      <w:rFonts w:ascii="Segoe UI" w:hAnsi="Segoe UI" w:cs="Segoe UI" w:hint="default"/>
      <w:b/>
      <w:bCs/>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390816">
      <w:bodyDiv w:val="1"/>
      <w:marLeft w:val="0"/>
      <w:marRight w:val="0"/>
      <w:marTop w:val="0"/>
      <w:marBottom w:val="0"/>
      <w:divBdr>
        <w:top w:val="none" w:sz="0" w:space="0" w:color="auto"/>
        <w:left w:val="none" w:sz="0" w:space="0" w:color="auto"/>
        <w:bottom w:val="none" w:sz="0" w:space="0" w:color="auto"/>
        <w:right w:val="none" w:sz="0" w:space="0" w:color="auto"/>
      </w:divBdr>
    </w:div>
    <w:div w:id="1450467782">
      <w:bodyDiv w:val="1"/>
      <w:marLeft w:val="0"/>
      <w:marRight w:val="0"/>
      <w:marTop w:val="0"/>
      <w:marBottom w:val="0"/>
      <w:divBdr>
        <w:top w:val="none" w:sz="0" w:space="0" w:color="auto"/>
        <w:left w:val="none" w:sz="0" w:space="0" w:color="auto"/>
        <w:bottom w:val="none" w:sz="0" w:space="0" w:color="auto"/>
        <w:right w:val="none" w:sz="0" w:space="0" w:color="auto"/>
      </w:divBdr>
    </w:div>
    <w:div w:id="1661038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monitor.civicus.org/country/cyprus/" TargetMode="External"/><Relationship Id="rId39" Type="http://schemas.openxmlformats.org/officeDocument/2006/relationships/hyperlink" Target="https://odihr.osce.org/odihr/elections/cyprus/597818"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mfrr.eu/monitor/" TargetMode="External"/><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ciren.cy/archive/republic-of-cyprus-media-ownership-2024/" TargetMode="External"/><Relationship Id="rId33" Type="http://schemas.openxmlformats.org/officeDocument/2006/relationships/hyperlink" Target="https://cyprus-mail.com/2026/01/31/e7-million-state-grant-released-to-parties-ahead-of-may-elections" TargetMode="External"/><Relationship Id="rId38" Type="http://schemas.openxmlformats.org/officeDocument/2006/relationships/hyperlink" Target="https://www.oecd.org/en/publications/better-regulation-practices-across-the-european-union-2025_6f007516-en/full-report.html" TargetMode="External"/><Relationship Id="rId46"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fom.coe.int/en/alerte?idsPays=11709496&amp;alertesActives=true&amp;dateDebut=1735696800000&amp;dateFin=1767146400000&amp;nbElementDebut=0"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iren.cy/analysis/cyprus-lacks-transparency-in-media-ownership/" TargetMode="External"/><Relationship Id="rId32" Type="http://schemas.openxmlformats.org/officeDocument/2006/relationships/hyperlink" Target="https://www.venice.coe.int/webforms/documents/?pdf=CDL-AD(2018)028-e" TargetMode="External"/><Relationship Id="rId37" Type="http://schemas.openxmlformats.org/officeDocument/2006/relationships/hyperlink" Target="https://www.iaac.org.cy/iaac/iaac.nsf/All/F3C9733F708AB3A4C2258E18002EF6CB?OpenDocument" TargetMode="External"/><Relationship Id="rId40" Type="http://schemas.openxmlformats.org/officeDocument/2006/relationships/hyperlink" Target="https://in-cyprus.philenews.com/local/cyprus-launches-its-own-fbi-to-fight-organised-crime/" TargetMode="External"/><Relationship Id="rId45"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urldefense.com/v3/__https:/www.gov.cy/media/sites/12/2025/11/**Y-**O-**M-**M-2025.pdf__;zqPPhc6zzrrOtc69z4TPgc-Jz4TOuc66zqzOlc-Fz4HOrs68zrHPhM6xzpXOu86tzrPPh86_z4XOms-MzrzOvM6xz4TOsQ!!DOxrgLBm!BtqLZk0ciNhePxC-oHylljLXr6cu4787E2aTLdD9N6P-NOnc0bIKPauyY2NMzq1B-kE1PlKbMKW75WRqs6aUgp0rXxm7O7k$" TargetMode="External"/><Relationship Id="rId28" Type="http://schemas.openxmlformats.org/officeDocument/2006/relationships/hyperlink" Target="https://search.coe.int/cm?i=09000016805afb78" TargetMode="External"/><Relationship Id="rId36" Type="http://schemas.openxmlformats.org/officeDocument/2006/relationships/hyperlink" Target="https://rm.coe.int/grecorc5-2025-13-final-eng-compliance-report-pub/4880287112" TargetMode="Externa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venice.coe.int/webforms/documents/CDL-AD(2010)040.aspx" TargetMode="External"/><Relationship Id="rId4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search.coe.int/cm?i=09000016804be55a" TargetMode="External"/><Relationship Id="rId30" Type="http://schemas.openxmlformats.org/officeDocument/2006/relationships/hyperlink" Target="https://www.coe.int/en/web/venice-commission/-/cdl-ad-2007-028-e" TargetMode="External"/><Relationship Id="rId35" Type="http://schemas.openxmlformats.org/officeDocument/2006/relationships/hyperlink" Target="https://pgwrk-websitemedia.s3.eu-west-1.amazonaws.com/production/pwk-web-encj2017-p/Report%20ENCJ%20Survey%20on%20Independence-compressed_0.pdf" TargetMode="External"/><Relationship Id="rId43" Type="http://schemas.openxmlformats.org/officeDocument/2006/relationships/footer" Target="footer4.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C4B7760C-6CC6-4277-905D-CDF56636D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A730C180-0FAF-4322-B522-F1E6FE66356B}">
  <ds:schemaRefs>
    <ds:schemaRef ds:uri="http://schemas.microsoft.com/sharepoint/v3/contenttype/forms"/>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78A1CF4E-F4DE-426B-BA4E-1BA7A84CE44D}">
  <ds:schemaRefs>
    <ds:schemaRef ds:uri="http://schemas.openxmlformats.org/package/2006/metadata/core-properties"/>
    <ds:schemaRef ds:uri="http://purl.org/dc/dcmitype/"/>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ffa05dec-e383-4a36-a526-3e8014669239"/>
  </ds:schemaRefs>
</ds:datastoreItem>
</file>

<file path=customXml/itemProps8.xml><?xml version="1.0" encoding="utf-8"?>
<ds:datastoreItem xmlns:ds="http://schemas.openxmlformats.org/officeDocument/2006/customXml" ds:itemID="{03DDF02A-1F1B-46B6-A696-9B952FB22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9540</Words>
  <Characters>54380</Characters>
  <Application>Microsoft Office Word</Application>
  <DocSecurity>0</DocSecurity>
  <PresentationFormat>Microsoft Word 14.0</PresentationFormat>
  <Lines>453</Lines>
  <Paragraphs>127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63793</CharactersWithSpaces>
  <SharedDoc>false</SharedDoc>
  <HLinks>
    <vt:vector size="144" baseType="variant">
      <vt:variant>
        <vt:i4>6750312</vt:i4>
      </vt:variant>
      <vt:variant>
        <vt:i4>63</vt:i4>
      </vt:variant>
      <vt:variant>
        <vt:i4>0</vt:i4>
      </vt:variant>
      <vt:variant>
        <vt:i4>5</vt:i4>
      </vt:variant>
      <vt:variant>
        <vt:lpwstr>https://in-cyprus.philenews.com/local/cyprus-launches-its-own-fbi-to-fight-organised-crime/</vt:lpwstr>
      </vt:variant>
      <vt:variant>
        <vt:lpwstr/>
      </vt:variant>
      <vt:variant>
        <vt:i4>4259844</vt:i4>
      </vt:variant>
      <vt:variant>
        <vt:i4>60</vt:i4>
      </vt:variant>
      <vt:variant>
        <vt:i4>0</vt:i4>
      </vt:variant>
      <vt:variant>
        <vt:i4>5</vt:i4>
      </vt:variant>
      <vt:variant>
        <vt:lpwstr>https://odihr.osce.org/odihr/elections/cyprus/597818</vt:lpwstr>
      </vt:variant>
      <vt:variant>
        <vt:lpwstr/>
      </vt:variant>
      <vt:variant>
        <vt:i4>3145740</vt:i4>
      </vt:variant>
      <vt:variant>
        <vt:i4>57</vt:i4>
      </vt:variant>
      <vt:variant>
        <vt:i4>0</vt:i4>
      </vt:variant>
      <vt:variant>
        <vt:i4>5</vt:i4>
      </vt:variant>
      <vt:variant>
        <vt:lpwstr>https://www.oecd.org/en/publications/better-regulation-practices-across-the-european-union-2025_6f007516-en/full-report.html</vt:lpwstr>
      </vt:variant>
      <vt:variant>
        <vt:lpwstr/>
      </vt:variant>
      <vt:variant>
        <vt:i4>7864369</vt:i4>
      </vt:variant>
      <vt:variant>
        <vt:i4>54</vt:i4>
      </vt:variant>
      <vt:variant>
        <vt:i4>0</vt:i4>
      </vt:variant>
      <vt:variant>
        <vt:i4>5</vt:i4>
      </vt:variant>
      <vt:variant>
        <vt:lpwstr>https://www.law.gov.cy/law/law.nsf/announcements-arch-el/announcements-arch-el?OpenDocument&amp;Start=1&amp;Count=1000&amp;Expand=1</vt:lpwstr>
      </vt:variant>
      <vt:variant>
        <vt:lpwstr/>
      </vt:variant>
      <vt:variant>
        <vt:i4>6881391</vt:i4>
      </vt:variant>
      <vt:variant>
        <vt:i4>51</vt:i4>
      </vt:variant>
      <vt:variant>
        <vt:i4>0</vt:i4>
      </vt:variant>
      <vt:variant>
        <vt:i4>5</vt:i4>
      </vt:variant>
      <vt:variant>
        <vt:lpwstr>https://www.iaac.org.cy/iaac/iaac.nsf/All/F3C9733F708AB3A4C2258E18002EF6CB?OpenDocument</vt:lpwstr>
      </vt:variant>
      <vt:variant>
        <vt:lpwstr/>
      </vt:variant>
      <vt:variant>
        <vt:i4>7733358</vt:i4>
      </vt:variant>
      <vt:variant>
        <vt:i4>48</vt:i4>
      </vt:variant>
      <vt:variant>
        <vt:i4>0</vt:i4>
      </vt:variant>
      <vt:variant>
        <vt:i4>5</vt:i4>
      </vt:variant>
      <vt:variant>
        <vt:lpwstr>https://www.iaac.org.cy/iaac/iaac.nsf/</vt:lpwstr>
      </vt:variant>
      <vt:variant>
        <vt:lpwstr/>
      </vt:variant>
      <vt:variant>
        <vt:i4>7471147</vt:i4>
      </vt:variant>
      <vt:variant>
        <vt:i4>45</vt:i4>
      </vt:variant>
      <vt:variant>
        <vt:i4>0</vt:i4>
      </vt:variant>
      <vt:variant>
        <vt:i4>5</vt:i4>
      </vt:variant>
      <vt:variant>
        <vt:lpwstr>https://rm.coe.int/grecorc5-2025-13-final-eng-compliance-report-pub/4880287112</vt:lpwstr>
      </vt:variant>
      <vt:variant>
        <vt:lpwstr/>
      </vt:variant>
      <vt:variant>
        <vt:i4>262251</vt:i4>
      </vt:variant>
      <vt:variant>
        <vt:i4>42</vt:i4>
      </vt:variant>
      <vt:variant>
        <vt:i4>0</vt:i4>
      </vt:variant>
      <vt:variant>
        <vt:i4>5</vt:i4>
      </vt:variant>
      <vt:variant>
        <vt:lpwstr>https://pgwrk-websitemedia.s3.eu-west-1.amazonaws.com/production/pwk-web-encj2017-p/Report ENCJ Survey on Independence-compressed_0.pdf</vt:lpwstr>
      </vt:variant>
      <vt:variant>
        <vt:lpwstr/>
      </vt:variant>
      <vt:variant>
        <vt:i4>5242881</vt:i4>
      </vt:variant>
      <vt:variant>
        <vt:i4>39</vt:i4>
      </vt:variant>
      <vt:variant>
        <vt:i4>0</vt:i4>
      </vt:variant>
      <vt:variant>
        <vt:i4>5</vt:i4>
      </vt:variant>
      <vt:variant>
        <vt:lpwstr>https://www.mfrr.eu/monitor/</vt:lpwstr>
      </vt:variant>
      <vt:variant>
        <vt:lpwstr/>
      </vt:variant>
      <vt:variant>
        <vt:i4>1376280</vt:i4>
      </vt:variant>
      <vt:variant>
        <vt:i4>36</vt:i4>
      </vt:variant>
      <vt:variant>
        <vt:i4>0</vt:i4>
      </vt:variant>
      <vt:variant>
        <vt:i4>5</vt:i4>
      </vt:variant>
      <vt:variant>
        <vt:lpwstr>https://cyprus-mail.com/2026/01/31/e7-million-state-grant-released-to-parties-ahead-of-may-elections</vt:lpwstr>
      </vt:variant>
      <vt:variant>
        <vt:lpwstr/>
      </vt:variant>
      <vt:variant>
        <vt:i4>1245214</vt:i4>
      </vt:variant>
      <vt:variant>
        <vt:i4>33</vt:i4>
      </vt:variant>
      <vt:variant>
        <vt:i4>0</vt:i4>
      </vt:variant>
      <vt:variant>
        <vt:i4>5</vt:i4>
      </vt:variant>
      <vt:variant>
        <vt:lpwstr>https://www.venice.coe.int/webforms/documents/?pdf=CDL-AD(2018)028-e</vt:lpwstr>
      </vt:variant>
      <vt:variant>
        <vt:lpwstr/>
      </vt:variant>
      <vt:variant>
        <vt:i4>3145783</vt:i4>
      </vt:variant>
      <vt:variant>
        <vt:i4>30</vt:i4>
      </vt:variant>
      <vt:variant>
        <vt:i4>0</vt:i4>
      </vt:variant>
      <vt:variant>
        <vt:i4>5</vt:i4>
      </vt:variant>
      <vt:variant>
        <vt:lpwstr>https://www.venice.coe.int/webforms/documents/CDL-AD(2010)040.aspx</vt:lpwstr>
      </vt:variant>
      <vt:variant>
        <vt:lpwstr/>
      </vt:variant>
      <vt:variant>
        <vt:i4>1507412</vt:i4>
      </vt:variant>
      <vt:variant>
        <vt:i4>27</vt:i4>
      </vt:variant>
      <vt:variant>
        <vt:i4>0</vt:i4>
      </vt:variant>
      <vt:variant>
        <vt:i4>5</vt:i4>
      </vt:variant>
      <vt:variant>
        <vt:lpwstr>https://www.coe.int/en/web/venice-commission/-/cdl-ad-2007-028-e</vt:lpwstr>
      </vt:variant>
      <vt:variant>
        <vt:lpwstr/>
      </vt:variant>
      <vt:variant>
        <vt:i4>3211377</vt:i4>
      </vt:variant>
      <vt:variant>
        <vt:i4>24</vt:i4>
      </vt:variant>
      <vt:variant>
        <vt:i4>0</vt:i4>
      </vt:variant>
      <vt:variant>
        <vt:i4>5</vt:i4>
      </vt:variant>
      <vt:variant>
        <vt:lpwstr>https://fom.coe.int/en/alerte?idsPays=11709496&amp;alertesActives=true&amp;dateDebut=1735696800000&amp;dateFin=1767146400000&amp;nbElementDebut=0</vt:lpwstr>
      </vt:variant>
      <vt:variant>
        <vt:lpwstr>search</vt:lpwstr>
      </vt:variant>
      <vt:variant>
        <vt:i4>1048646</vt:i4>
      </vt:variant>
      <vt:variant>
        <vt:i4>21</vt:i4>
      </vt:variant>
      <vt:variant>
        <vt:i4>0</vt:i4>
      </vt:variant>
      <vt:variant>
        <vt:i4>5</vt:i4>
      </vt:variant>
      <vt:variant>
        <vt:lpwstr>https://search.coe.int/cm?i=09000016805afb78</vt:lpwstr>
      </vt:variant>
      <vt:variant>
        <vt:lpwstr/>
      </vt:variant>
      <vt:variant>
        <vt:i4>1900614</vt:i4>
      </vt:variant>
      <vt:variant>
        <vt:i4>18</vt:i4>
      </vt:variant>
      <vt:variant>
        <vt:i4>0</vt:i4>
      </vt:variant>
      <vt:variant>
        <vt:i4>5</vt:i4>
      </vt:variant>
      <vt:variant>
        <vt:lpwstr>https://search.coe.int/cm?i=09000016804be55a</vt:lpwstr>
      </vt:variant>
      <vt:variant>
        <vt:lpwstr/>
      </vt:variant>
      <vt:variant>
        <vt:i4>7602229</vt:i4>
      </vt:variant>
      <vt:variant>
        <vt:i4>15</vt:i4>
      </vt:variant>
      <vt:variant>
        <vt:i4>0</vt:i4>
      </vt:variant>
      <vt:variant>
        <vt:i4>5</vt:i4>
      </vt:variant>
      <vt:variant>
        <vt:lpwstr>https://monitor.civicus.org/country/cyprus/</vt:lpwstr>
      </vt:variant>
      <vt:variant>
        <vt:lpwstr/>
      </vt:variant>
      <vt:variant>
        <vt:i4>5046294</vt:i4>
      </vt:variant>
      <vt:variant>
        <vt:i4>12</vt:i4>
      </vt:variant>
      <vt:variant>
        <vt:i4>0</vt:i4>
      </vt:variant>
      <vt:variant>
        <vt:i4>5</vt:i4>
      </vt:variant>
      <vt:variant>
        <vt:lpwstr>https://ciren.cy/archive/republic-of-cyprus-media-ownership-2024/</vt:lpwstr>
      </vt:variant>
      <vt:variant>
        <vt:lpwstr/>
      </vt:variant>
      <vt:variant>
        <vt:i4>3145849</vt:i4>
      </vt:variant>
      <vt:variant>
        <vt:i4>9</vt:i4>
      </vt:variant>
      <vt:variant>
        <vt:i4>0</vt:i4>
      </vt:variant>
      <vt:variant>
        <vt:i4>5</vt:i4>
      </vt:variant>
      <vt:variant>
        <vt:lpwstr>https://ciren.cy/analysis/cyprus-lacks-transparency-in-media-ownership/</vt:lpwstr>
      </vt:variant>
      <vt:variant>
        <vt:lpwstr/>
      </vt:variant>
      <vt:variant>
        <vt:i4>131197</vt:i4>
      </vt:variant>
      <vt:variant>
        <vt:i4>6</vt:i4>
      </vt:variant>
      <vt:variant>
        <vt:i4>0</vt:i4>
      </vt:variant>
      <vt:variant>
        <vt:i4>5</vt:i4>
      </vt:variant>
      <vt:variant>
        <vt:lpwstr>https://urldefense.com/v3/__https:/www.gov.cy/media/sites/12/2025/11/**Y-**O-**M-**M-2025.pdf__;zqPPhc6zzrrOtc69z4TPgc-Jz4TOuc66zqzOlc-Fz4HOrs68zrHPhM6xzpXOu86tzrPPh86_z4XOms-MzrzOvM6xz4TOsQ!!DOxrgLBm!BtqLZk0ciNhePxC-oHylljLXr6cu4787E2aTLdD9N6P-NOnc0bIKPauyY2NMzq1B-kE1PlKbMKW75WRqs6aUgp0rXxm7O7k$</vt:lpwstr>
      </vt:variant>
      <vt:variant>
        <vt:lpwstr/>
      </vt:variant>
      <vt:variant>
        <vt:i4>3670026</vt:i4>
      </vt:variant>
      <vt:variant>
        <vt:i4>3</vt:i4>
      </vt:variant>
      <vt:variant>
        <vt:i4>0</vt:i4>
      </vt:variant>
      <vt:variant>
        <vt:i4>5</vt:i4>
      </vt:variant>
      <vt:variant>
        <vt:lpwstr>https://www.gov.cy/media/sites/12/2025/11/%CE%95%CE%B9%CE%B4%CE%B9%CE%BA%CE%AE-%CE%88%CE%BA%CE%B8%CE%B5%CF%83%CE%B7-40_2025.pdf</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3</vt:i4>
      </vt:variant>
      <vt:variant>
        <vt:i4>0</vt:i4>
      </vt:variant>
      <vt:variant>
        <vt:i4>5</vt:i4>
      </vt:variant>
      <vt:variant>
        <vt:lpwstr>https://www.coe.int/en/web/execution/the-supervision-process</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2026-07-12T11:50:00Z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2026-07-11T19:00:42Z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7b8404d0-0e9d-44bd-88cc-893ea717fb2f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